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83509">
      <w:pPr>
        <w:spacing w:line="360" w:lineRule="auto"/>
        <w:jc w:val="center"/>
        <w:outlineLvl w:val="1"/>
        <w:rPr>
          <w:rFonts w:ascii="宋体" w:hAnsi="Calibri" w:eastAsia="宋体" w:cs="Times New Roman"/>
          <w:b/>
          <w:sz w:val="44"/>
          <w:szCs w:val="44"/>
        </w:rPr>
      </w:pPr>
      <w:r>
        <w:rPr>
          <w:rFonts w:hint="eastAsia" w:ascii="宋体" w:hAnsi="Calibri" w:eastAsia="宋体" w:cs="Times New Roman"/>
          <w:b/>
          <w:sz w:val="44"/>
          <w:szCs w:val="44"/>
        </w:rPr>
        <w:t>用户需求书</w:t>
      </w:r>
    </w:p>
    <w:p w14:paraId="07F75ADD">
      <w:pPr>
        <w:spacing w:line="360" w:lineRule="auto"/>
        <w:outlineLvl w:val="1"/>
        <w:rPr>
          <w:rFonts w:ascii="宋体" w:hAnsi="宋体" w:eastAsia="宋体" w:cs="宋体"/>
          <w:b/>
          <w:kern w:val="0"/>
          <w:sz w:val="24"/>
          <w:szCs w:val="24"/>
        </w:rPr>
      </w:pPr>
      <w:r>
        <w:rPr>
          <w:rFonts w:hint="eastAsia" w:ascii="宋体" w:hAnsi="宋体" w:eastAsia="宋体" w:cs="宋体"/>
          <w:b/>
          <w:kern w:val="0"/>
          <w:sz w:val="24"/>
          <w:szCs w:val="24"/>
        </w:rPr>
        <w:t>填写说明：</w:t>
      </w:r>
    </w:p>
    <w:p w14:paraId="3765736D">
      <w:pPr>
        <w:spacing w:line="360" w:lineRule="auto"/>
        <w:ind w:firstLine="480" w:firstLineChars="200"/>
        <w:outlineLvl w:val="1"/>
        <w:rPr>
          <w:rFonts w:ascii="宋体"/>
          <w:sz w:val="24"/>
        </w:rPr>
      </w:pPr>
      <w:r>
        <w:rPr>
          <w:rFonts w:hint="eastAsia" w:ascii="宋体"/>
          <w:sz w:val="24"/>
        </w:rPr>
        <w:t>1.报价人必须对所有采购内容或服务进行整体响应，任何只对部分内容进行响应都被视为无效报价。</w:t>
      </w:r>
    </w:p>
    <w:p w14:paraId="4A09FDB4">
      <w:pPr>
        <w:spacing w:line="360" w:lineRule="auto"/>
        <w:ind w:firstLine="480" w:firstLineChars="200"/>
        <w:outlineLvl w:val="1"/>
        <w:rPr>
          <w:rFonts w:ascii="宋体"/>
          <w:sz w:val="24"/>
        </w:rPr>
      </w:pPr>
      <w:r>
        <w:rPr>
          <w:rFonts w:hint="eastAsia" w:ascii="宋体"/>
          <w:sz w:val="24"/>
        </w:rPr>
        <w:t>2.需求书中加注“★”的条款均被视为不可偏离条款，投标人要特别加以注意，必须对此响应并完全满足或优于这些条款，否则若有一项加注“★”的条款未响应或不满足，报价都将被视为无效报价。</w:t>
      </w:r>
    </w:p>
    <w:p w14:paraId="7C56CBD0">
      <w:pPr>
        <w:spacing w:line="360" w:lineRule="auto"/>
        <w:ind w:firstLine="480" w:firstLineChars="200"/>
        <w:outlineLvl w:val="1"/>
        <w:rPr>
          <w:rFonts w:ascii="宋体"/>
          <w:sz w:val="24"/>
        </w:rPr>
      </w:pPr>
      <w:r>
        <w:rPr>
          <w:rFonts w:hint="eastAsia" w:ascii="宋体"/>
          <w:sz w:val="24"/>
        </w:rPr>
        <w:t>3、不能出现具体型号和品牌。</w:t>
      </w:r>
    </w:p>
    <w:p w14:paraId="28D5DA35">
      <w:pPr>
        <w:spacing w:line="360" w:lineRule="auto"/>
        <w:ind w:firstLine="240" w:firstLineChars="100"/>
        <w:outlineLvl w:val="1"/>
        <w:rPr>
          <w:rFonts w:ascii="宋体"/>
          <w:sz w:val="24"/>
        </w:rPr>
      </w:pPr>
      <w:r>
        <w:rPr>
          <w:rFonts w:hint="eastAsia" w:ascii="宋体"/>
          <w:color w:val="FF0000"/>
          <w:sz w:val="24"/>
        </w:rPr>
        <w:t>★</w:t>
      </w:r>
      <w:r>
        <w:rPr>
          <w:rFonts w:hint="eastAsia" w:ascii="宋体"/>
          <w:sz w:val="24"/>
        </w:rPr>
        <w:t>4、投标人应在投标分项报价表上标明本项目拟提供主要标的的名称、产地、规格型号、数量、单价、服务要求、制造商名称、每个单项的小计、整个投标的总价以及合同项下的货物来源地。</w:t>
      </w:r>
    </w:p>
    <w:p w14:paraId="2F20EF9B">
      <w:pPr>
        <w:spacing w:line="360" w:lineRule="auto"/>
        <w:jc w:val="left"/>
        <w:rPr>
          <w:rFonts w:ascii="宋体" w:hAnsi="宋体" w:eastAsia="宋体" w:cs="宋体"/>
          <w:b/>
          <w:kern w:val="0"/>
          <w:sz w:val="24"/>
          <w:szCs w:val="24"/>
        </w:rPr>
      </w:pPr>
    </w:p>
    <w:p w14:paraId="1D94EAAC">
      <w:pPr>
        <w:spacing w:line="360" w:lineRule="auto"/>
        <w:jc w:val="left"/>
        <w:rPr>
          <w:rFonts w:ascii="宋体" w:hAnsi="宋体" w:eastAsia="宋体" w:cs="宋体"/>
          <w:b/>
          <w:kern w:val="0"/>
          <w:sz w:val="24"/>
          <w:szCs w:val="24"/>
        </w:rPr>
      </w:pPr>
      <w:r>
        <w:rPr>
          <w:rFonts w:hint="eastAsia" w:ascii="宋体" w:hAnsi="宋体" w:eastAsia="宋体" w:cs="宋体"/>
          <w:b/>
          <w:kern w:val="0"/>
          <w:sz w:val="24"/>
          <w:szCs w:val="24"/>
        </w:rPr>
        <w:t>一、项目概况：</w:t>
      </w:r>
    </w:p>
    <w:p w14:paraId="74FB8865">
      <w:pPr>
        <w:spacing w:line="360" w:lineRule="auto"/>
        <w:ind w:firstLine="420"/>
        <w:jc w:val="left"/>
        <w:rPr>
          <w:rFonts w:ascii="宋体" w:hAnsi="宋体"/>
          <w:sz w:val="24"/>
          <w:szCs w:val="24"/>
        </w:rPr>
      </w:pPr>
      <w:r>
        <w:rPr>
          <w:rFonts w:hint="eastAsia" w:ascii="宋体" w:hAnsi="宋体"/>
          <w:sz w:val="24"/>
          <w:szCs w:val="24"/>
        </w:rPr>
        <w:t>1.采购内容： _</w:t>
      </w:r>
      <w:r>
        <w:rPr>
          <w:rFonts w:hint="eastAsia" w:ascii="宋体" w:hAnsi="宋体"/>
          <w:sz w:val="24"/>
          <w:szCs w:val="24"/>
          <w:u w:val="single"/>
          <w:lang w:val="en-US" w:eastAsia="zh-CN"/>
        </w:rPr>
        <w:t>可变真空原位场发射扫描电镜</w:t>
      </w:r>
      <w:r>
        <w:rPr>
          <w:rFonts w:ascii="宋体" w:hAnsi="宋体"/>
          <w:sz w:val="24"/>
          <w:szCs w:val="24"/>
        </w:rPr>
        <w:t>__</w:t>
      </w:r>
    </w:p>
    <w:p w14:paraId="70AC8891">
      <w:pPr>
        <w:spacing w:line="360" w:lineRule="auto"/>
        <w:ind w:firstLine="420"/>
        <w:jc w:val="left"/>
        <w:rPr>
          <w:rFonts w:ascii="宋体" w:hAnsi="宋体"/>
          <w:sz w:val="24"/>
          <w:szCs w:val="24"/>
        </w:rPr>
      </w:pPr>
      <w:r>
        <w:rPr>
          <w:rFonts w:hint="eastAsia" w:ascii="宋体" w:hAnsi="宋体"/>
          <w:sz w:val="24"/>
          <w:szCs w:val="24"/>
        </w:rPr>
        <w:t>2.采购预算： _</w:t>
      </w:r>
      <w:r>
        <w:rPr>
          <w:rFonts w:hint="eastAsia" w:ascii="宋体" w:hAnsi="宋体"/>
          <w:sz w:val="24"/>
          <w:szCs w:val="24"/>
          <w:u w:val="single"/>
          <w:lang w:val="en-US" w:eastAsia="zh-CN"/>
        </w:rPr>
        <w:t>550</w:t>
      </w:r>
      <w:r>
        <w:rPr>
          <w:rFonts w:hint="eastAsia" w:ascii="宋体" w:hAnsi="宋体"/>
          <w:sz w:val="24"/>
          <w:szCs w:val="24"/>
          <w:u w:val="single"/>
        </w:rPr>
        <w:t>万元</w:t>
      </w:r>
      <w:r>
        <w:rPr>
          <w:rFonts w:ascii="宋体" w:hAnsi="宋体"/>
          <w:sz w:val="24"/>
          <w:szCs w:val="24"/>
          <w:u w:val="single"/>
        </w:rPr>
        <w:t>_</w:t>
      </w:r>
    </w:p>
    <w:p w14:paraId="260028E0">
      <w:pPr>
        <w:spacing w:line="360" w:lineRule="auto"/>
        <w:ind w:firstLine="420"/>
        <w:jc w:val="left"/>
        <w:rPr>
          <w:rFonts w:ascii="宋体" w:hAnsi="宋体" w:eastAsia="宋体" w:cs="Times New Roman"/>
          <w:sz w:val="24"/>
          <w:szCs w:val="24"/>
        </w:rPr>
      </w:pPr>
      <w:r>
        <w:rPr>
          <w:rFonts w:ascii="宋体" w:hAnsi="宋体"/>
          <w:sz w:val="24"/>
          <w:szCs w:val="24"/>
        </w:rPr>
        <w:t>3.</w:t>
      </w:r>
      <w:r>
        <w:rPr>
          <w:rFonts w:hint="eastAsia" w:ascii="宋体" w:hAnsi="宋体"/>
          <w:sz w:val="24"/>
          <w:szCs w:val="24"/>
        </w:rPr>
        <w:t>学院联系人及电话： _</w:t>
      </w:r>
      <w:r>
        <w:rPr>
          <w:rFonts w:ascii="宋体" w:hAnsi="宋体"/>
          <w:sz w:val="24"/>
          <w:szCs w:val="24"/>
          <w:u w:val="single"/>
        </w:rPr>
        <w:t>_</w:t>
      </w:r>
      <w:r>
        <w:rPr>
          <w:rFonts w:hint="eastAsia" w:ascii="宋体" w:hAnsi="宋体"/>
          <w:sz w:val="24"/>
          <w:szCs w:val="24"/>
          <w:u w:val="single"/>
          <w:lang w:val="en-US" w:eastAsia="zh-CN"/>
        </w:rPr>
        <w:t>卫孟</w:t>
      </w:r>
      <w:r>
        <w:rPr>
          <w:rFonts w:hint="eastAsia" w:ascii="宋体" w:hAnsi="宋体"/>
          <w:sz w:val="24"/>
          <w:szCs w:val="24"/>
          <w:u w:val="single"/>
        </w:rPr>
        <w:t xml:space="preserve"> 1</w:t>
      </w:r>
      <w:r>
        <w:rPr>
          <w:rFonts w:hint="eastAsia" w:ascii="宋体" w:hAnsi="宋体"/>
          <w:sz w:val="24"/>
          <w:szCs w:val="24"/>
          <w:u w:val="single"/>
          <w:lang w:val="en-US" w:eastAsia="zh-CN"/>
        </w:rPr>
        <w:t>3249153215</w:t>
      </w:r>
      <w:r>
        <w:rPr>
          <w:rFonts w:ascii="宋体" w:hAnsi="宋体"/>
          <w:sz w:val="24"/>
          <w:szCs w:val="24"/>
        </w:rPr>
        <w:t>_</w:t>
      </w:r>
    </w:p>
    <w:tbl>
      <w:tblPr>
        <w:tblStyle w:val="7"/>
        <w:tblpPr w:leftFromText="180" w:rightFromText="180" w:vertAnchor="text" w:horzAnchor="margin" w:tblpXSpec="center" w:tblpY="584"/>
        <w:tblOverlap w:val="never"/>
        <w:tblW w:w="953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41"/>
        <w:gridCol w:w="1134"/>
        <w:gridCol w:w="1110"/>
        <w:gridCol w:w="850"/>
        <w:gridCol w:w="1158"/>
        <w:gridCol w:w="1158"/>
        <w:gridCol w:w="969"/>
        <w:gridCol w:w="1158"/>
        <w:gridCol w:w="1158"/>
      </w:tblGrid>
      <w:tr w14:paraId="04D845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1" w:hRule="atLeast"/>
          <w:tblHeader/>
        </w:trPr>
        <w:tc>
          <w:tcPr>
            <w:tcW w:w="841" w:type="dxa"/>
            <w:shd w:val="clear" w:color="auto" w:fill="CCC0D9"/>
            <w:vAlign w:val="center"/>
          </w:tcPr>
          <w:p w14:paraId="6F2CD923">
            <w:pPr>
              <w:adjustRightInd w:val="0"/>
              <w:snapToGrid w:val="0"/>
              <w:spacing w:line="360" w:lineRule="auto"/>
              <w:ind w:firstLine="105" w:firstLineChars="50"/>
              <w:jc w:val="center"/>
              <w:rPr>
                <w:b/>
                <w:szCs w:val="21"/>
              </w:rPr>
            </w:pPr>
            <w:r>
              <w:rPr>
                <w:b/>
                <w:szCs w:val="21"/>
              </w:rPr>
              <w:t>序号</w:t>
            </w:r>
          </w:p>
        </w:tc>
        <w:tc>
          <w:tcPr>
            <w:tcW w:w="1134" w:type="dxa"/>
            <w:shd w:val="clear" w:color="auto" w:fill="CCC0D9"/>
            <w:vAlign w:val="center"/>
          </w:tcPr>
          <w:p w14:paraId="269303A9">
            <w:pPr>
              <w:adjustRightInd w:val="0"/>
              <w:snapToGrid w:val="0"/>
              <w:spacing w:line="360" w:lineRule="auto"/>
              <w:jc w:val="center"/>
              <w:rPr>
                <w:b/>
                <w:szCs w:val="21"/>
              </w:rPr>
            </w:pPr>
            <w:r>
              <w:rPr>
                <w:b/>
                <w:szCs w:val="21"/>
              </w:rPr>
              <w:t>设备名称</w:t>
            </w:r>
          </w:p>
        </w:tc>
        <w:tc>
          <w:tcPr>
            <w:tcW w:w="1110" w:type="dxa"/>
            <w:shd w:val="clear" w:color="auto" w:fill="CCC0D9"/>
            <w:vAlign w:val="center"/>
          </w:tcPr>
          <w:p w14:paraId="71002C41">
            <w:pPr>
              <w:adjustRightInd w:val="0"/>
              <w:snapToGrid w:val="0"/>
              <w:spacing w:line="360" w:lineRule="auto"/>
              <w:ind w:firstLine="105" w:firstLineChars="50"/>
              <w:jc w:val="center"/>
              <w:rPr>
                <w:b/>
                <w:szCs w:val="21"/>
              </w:rPr>
            </w:pPr>
            <w:r>
              <w:rPr>
                <w:b/>
                <w:szCs w:val="21"/>
              </w:rPr>
              <w:t>数量</w:t>
            </w:r>
          </w:p>
        </w:tc>
        <w:tc>
          <w:tcPr>
            <w:tcW w:w="850" w:type="dxa"/>
            <w:shd w:val="clear" w:color="auto" w:fill="CCC0D9"/>
            <w:vAlign w:val="center"/>
          </w:tcPr>
          <w:p w14:paraId="2EAEACDB">
            <w:pPr>
              <w:adjustRightInd w:val="0"/>
              <w:snapToGrid w:val="0"/>
              <w:spacing w:line="360" w:lineRule="auto"/>
              <w:jc w:val="center"/>
              <w:rPr>
                <w:b/>
                <w:szCs w:val="21"/>
              </w:rPr>
            </w:pPr>
            <w:r>
              <w:rPr>
                <w:rFonts w:hint="eastAsia"/>
                <w:b/>
                <w:szCs w:val="21"/>
              </w:rPr>
              <w:t>计量</w:t>
            </w:r>
          </w:p>
          <w:p w14:paraId="7E2A0F1E">
            <w:pPr>
              <w:adjustRightInd w:val="0"/>
              <w:snapToGrid w:val="0"/>
              <w:spacing w:line="360" w:lineRule="auto"/>
              <w:jc w:val="center"/>
              <w:rPr>
                <w:b/>
                <w:szCs w:val="21"/>
              </w:rPr>
            </w:pPr>
            <w:r>
              <w:rPr>
                <w:b/>
                <w:szCs w:val="21"/>
              </w:rPr>
              <w:t>单位</w:t>
            </w:r>
          </w:p>
        </w:tc>
        <w:tc>
          <w:tcPr>
            <w:tcW w:w="1158" w:type="dxa"/>
            <w:shd w:val="clear" w:color="auto" w:fill="CCC0D9"/>
            <w:vAlign w:val="center"/>
          </w:tcPr>
          <w:p w14:paraId="2E92EFA1">
            <w:pPr>
              <w:adjustRightInd w:val="0"/>
              <w:snapToGrid w:val="0"/>
              <w:spacing w:line="360" w:lineRule="auto"/>
              <w:jc w:val="center"/>
              <w:rPr>
                <w:rFonts w:asciiTheme="minorEastAsia" w:hAnsiTheme="minorEastAsia"/>
                <w:b/>
                <w:szCs w:val="21"/>
              </w:rPr>
            </w:pPr>
            <w:r>
              <w:rPr>
                <w:rFonts w:hint="eastAsia" w:asciiTheme="minorEastAsia" w:hAnsiTheme="minorEastAsia"/>
                <w:b/>
                <w:szCs w:val="21"/>
              </w:rPr>
              <w:t>单价</w:t>
            </w:r>
          </w:p>
          <w:p w14:paraId="55FFC589">
            <w:pPr>
              <w:adjustRightInd w:val="0"/>
              <w:snapToGrid w:val="0"/>
              <w:spacing w:line="360" w:lineRule="auto"/>
              <w:jc w:val="center"/>
              <w:rPr>
                <w:rFonts w:asciiTheme="minorEastAsia" w:hAnsiTheme="minorEastAsia"/>
                <w:b/>
                <w:szCs w:val="21"/>
              </w:rPr>
            </w:pPr>
            <w:r>
              <w:rPr>
                <w:rFonts w:hint="eastAsia" w:asciiTheme="minorEastAsia" w:hAnsiTheme="minorEastAsia"/>
                <w:b/>
                <w:szCs w:val="21"/>
              </w:rPr>
              <w:t>（万元）</w:t>
            </w:r>
          </w:p>
        </w:tc>
        <w:tc>
          <w:tcPr>
            <w:tcW w:w="1158" w:type="dxa"/>
            <w:shd w:val="clear" w:color="auto" w:fill="CCC0D9"/>
            <w:vAlign w:val="center"/>
          </w:tcPr>
          <w:p w14:paraId="5049EEA3">
            <w:pPr>
              <w:adjustRightInd w:val="0"/>
              <w:snapToGrid w:val="0"/>
              <w:spacing w:line="360" w:lineRule="auto"/>
              <w:jc w:val="center"/>
              <w:rPr>
                <w:rFonts w:asciiTheme="minorEastAsia" w:hAnsiTheme="minorEastAsia"/>
                <w:b/>
                <w:szCs w:val="21"/>
              </w:rPr>
            </w:pPr>
            <w:r>
              <w:rPr>
                <w:rFonts w:hint="eastAsia" w:asciiTheme="minorEastAsia" w:hAnsiTheme="minorEastAsia"/>
                <w:b/>
                <w:szCs w:val="21"/>
              </w:rPr>
              <w:t>小计</w:t>
            </w:r>
          </w:p>
          <w:p w14:paraId="3F54C333">
            <w:pPr>
              <w:adjustRightInd w:val="0"/>
              <w:snapToGrid w:val="0"/>
              <w:spacing w:line="360" w:lineRule="auto"/>
              <w:jc w:val="center"/>
              <w:rPr>
                <w:rFonts w:asciiTheme="minorEastAsia" w:hAnsiTheme="minorEastAsia"/>
                <w:b/>
                <w:szCs w:val="21"/>
              </w:rPr>
            </w:pPr>
            <w:r>
              <w:rPr>
                <w:rFonts w:hint="eastAsia" w:asciiTheme="minorEastAsia" w:hAnsiTheme="minorEastAsia"/>
                <w:b/>
                <w:szCs w:val="21"/>
              </w:rPr>
              <w:t>（万元）</w:t>
            </w:r>
          </w:p>
        </w:tc>
        <w:tc>
          <w:tcPr>
            <w:tcW w:w="969" w:type="dxa"/>
            <w:shd w:val="clear" w:color="auto" w:fill="CCC0D9"/>
            <w:vAlign w:val="center"/>
          </w:tcPr>
          <w:p w14:paraId="31D14927">
            <w:pPr>
              <w:adjustRightInd w:val="0"/>
              <w:snapToGrid w:val="0"/>
              <w:spacing w:line="360" w:lineRule="auto"/>
              <w:jc w:val="center"/>
              <w:rPr>
                <w:rFonts w:asciiTheme="minorEastAsia" w:hAnsiTheme="minorEastAsia"/>
                <w:b/>
                <w:szCs w:val="21"/>
              </w:rPr>
            </w:pPr>
            <w:r>
              <w:rPr>
                <w:rFonts w:hint="eastAsia" w:asciiTheme="minorEastAsia" w:hAnsiTheme="minorEastAsia"/>
                <w:b/>
                <w:szCs w:val="21"/>
              </w:rPr>
              <w:t>保修期（年）</w:t>
            </w:r>
          </w:p>
        </w:tc>
        <w:tc>
          <w:tcPr>
            <w:tcW w:w="1158" w:type="dxa"/>
            <w:shd w:val="clear" w:color="auto" w:fill="CCC0D9"/>
            <w:vAlign w:val="center"/>
          </w:tcPr>
          <w:p w14:paraId="44F03DE7">
            <w:pPr>
              <w:adjustRightInd w:val="0"/>
              <w:snapToGrid w:val="0"/>
              <w:spacing w:line="360" w:lineRule="auto"/>
              <w:jc w:val="center"/>
              <w:rPr>
                <w:b/>
                <w:szCs w:val="21"/>
              </w:rPr>
            </w:pPr>
            <w:r>
              <w:rPr>
                <w:rFonts w:hint="eastAsia"/>
                <w:b/>
                <w:szCs w:val="21"/>
              </w:rPr>
              <w:t>国产/进口</w:t>
            </w:r>
          </w:p>
        </w:tc>
        <w:tc>
          <w:tcPr>
            <w:tcW w:w="1158" w:type="dxa"/>
            <w:shd w:val="clear" w:color="auto" w:fill="CCC0D9"/>
            <w:vAlign w:val="center"/>
          </w:tcPr>
          <w:p w14:paraId="4F838D80">
            <w:pPr>
              <w:adjustRightInd w:val="0"/>
              <w:snapToGrid w:val="0"/>
              <w:spacing w:line="360" w:lineRule="auto"/>
              <w:jc w:val="center"/>
              <w:rPr>
                <w:b/>
                <w:szCs w:val="21"/>
              </w:rPr>
            </w:pPr>
            <w:r>
              <w:rPr>
                <w:rFonts w:hint="eastAsia"/>
                <w:b/>
                <w:szCs w:val="21"/>
              </w:rPr>
              <w:t>含税/免税</w:t>
            </w:r>
          </w:p>
        </w:tc>
      </w:tr>
      <w:tr w14:paraId="25A76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8" w:hRule="atLeast"/>
        </w:trPr>
        <w:tc>
          <w:tcPr>
            <w:tcW w:w="841" w:type="dxa"/>
            <w:vAlign w:val="center"/>
          </w:tcPr>
          <w:p w14:paraId="77EAB14A">
            <w:pPr>
              <w:adjustRightInd w:val="0"/>
              <w:snapToGrid w:val="0"/>
              <w:spacing w:line="360" w:lineRule="auto"/>
              <w:jc w:val="center"/>
              <w:rPr>
                <w:szCs w:val="21"/>
              </w:rPr>
            </w:pPr>
            <w:r>
              <w:rPr>
                <w:rFonts w:hint="eastAsia"/>
                <w:szCs w:val="21"/>
              </w:rPr>
              <w:t>1</w:t>
            </w:r>
          </w:p>
        </w:tc>
        <w:tc>
          <w:tcPr>
            <w:tcW w:w="1134" w:type="dxa"/>
            <w:vAlign w:val="center"/>
          </w:tcPr>
          <w:p w14:paraId="01A06B48">
            <w:pPr>
              <w:adjustRightInd w:val="0"/>
              <w:snapToGrid w:val="0"/>
              <w:spacing w:line="360" w:lineRule="auto"/>
              <w:jc w:val="center"/>
              <w:rPr>
                <w:rFonts w:ascii="Times New Roman" w:hAnsi="Times New Roman" w:cs="Times New Roman"/>
                <w:szCs w:val="21"/>
              </w:rPr>
            </w:pPr>
            <w:r>
              <w:rPr>
                <w:rFonts w:hint="eastAsia" w:ascii="Times New Roman" w:hAnsi="Times New Roman" w:cs="Times New Roman"/>
                <w:szCs w:val="21"/>
                <w:lang w:val="en-US" w:eastAsia="zh-CN"/>
              </w:rPr>
              <w:t>可变真空原位场发射扫描电镜</w:t>
            </w:r>
          </w:p>
        </w:tc>
        <w:tc>
          <w:tcPr>
            <w:tcW w:w="1110" w:type="dxa"/>
            <w:vAlign w:val="center"/>
          </w:tcPr>
          <w:p w14:paraId="02406554">
            <w:pPr>
              <w:spacing w:line="360" w:lineRule="auto"/>
              <w:jc w:val="center"/>
              <w:rPr>
                <w:szCs w:val="21"/>
              </w:rPr>
            </w:pPr>
            <w:r>
              <w:rPr>
                <w:rFonts w:hint="eastAsia"/>
                <w:szCs w:val="21"/>
              </w:rPr>
              <w:t>1</w:t>
            </w:r>
          </w:p>
        </w:tc>
        <w:tc>
          <w:tcPr>
            <w:tcW w:w="850" w:type="dxa"/>
            <w:vAlign w:val="center"/>
          </w:tcPr>
          <w:p w14:paraId="7B7BF585">
            <w:pPr>
              <w:spacing w:line="360" w:lineRule="auto"/>
              <w:jc w:val="center"/>
              <w:rPr>
                <w:szCs w:val="21"/>
              </w:rPr>
            </w:pPr>
            <w:r>
              <w:rPr>
                <w:rFonts w:hint="eastAsia"/>
                <w:szCs w:val="21"/>
              </w:rPr>
              <w:t>套</w:t>
            </w:r>
          </w:p>
        </w:tc>
        <w:tc>
          <w:tcPr>
            <w:tcW w:w="1158" w:type="dxa"/>
            <w:vAlign w:val="center"/>
          </w:tcPr>
          <w:p w14:paraId="5D86E8E2">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550</w:t>
            </w:r>
          </w:p>
        </w:tc>
        <w:tc>
          <w:tcPr>
            <w:tcW w:w="1158" w:type="dxa"/>
            <w:vAlign w:val="center"/>
          </w:tcPr>
          <w:p w14:paraId="1BA11778">
            <w:pPr>
              <w:spacing w:line="360" w:lineRule="auto"/>
              <w:jc w:val="center"/>
              <w:rPr>
                <w:rFonts w:hint="default" w:cs="经典细隶书繁" w:asciiTheme="minorEastAsia" w:hAnsiTheme="minorEastAsia" w:eastAsiaTheme="minorEastAsia"/>
                <w:color w:val="000000"/>
                <w:szCs w:val="21"/>
                <w:lang w:val="en-US" w:eastAsia="zh-CN"/>
              </w:rPr>
            </w:pPr>
            <w:r>
              <w:rPr>
                <w:rFonts w:hint="eastAsia" w:cs="经典细隶书繁" w:asciiTheme="minorEastAsia" w:hAnsiTheme="minorEastAsia"/>
                <w:color w:val="000000"/>
                <w:szCs w:val="21"/>
                <w:lang w:val="en-US" w:eastAsia="zh-CN"/>
              </w:rPr>
              <w:t>550</w:t>
            </w:r>
          </w:p>
        </w:tc>
        <w:tc>
          <w:tcPr>
            <w:tcW w:w="969" w:type="dxa"/>
            <w:vAlign w:val="center"/>
          </w:tcPr>
          <w:p w14:paraId="0E0E299E">
            <w:pPr>
              <w:adjustRightInd w:val="0"/>
              <w:snapToGrid w:val="0"/>
              <w:spacing w:line="360" w:lineRule="auto"/>
              <w:jc w:val="center"/>
              <w:rPr>
                <w:rFonts w:asciiTheme="minorEastAsia" w:hAnsiTheme="minorEastAsia"/>
                <w:szCs w:val="21"/>
              </w:rPr>
            </w:pPr>
            <w:r>
              <w:rPr>
                <w:rFonts w:hint="eastAsia" w:asciiTheme="minorEastAsia" w:hAnsiTheme="minorEastAsia"/>
                <w:szCs w:val="21"/>
              </w:rPr>
              <w:t>3</w:t>
            </w:r>
          </w:p>
        </w:tc>
        <w:tc>
          <w:tcPr>
            <w:tcW w:w="1158" w:type="dxa"/>
            <w:vAlign w:val="center"/>
          </w:tcPr>
          <w:p w14:paraId="505F4FC4">
            <w:pPr>
              <w:adjustRightInd w:val="0"/>
              <w:snapToGrid w:val="0"/>
              <w:spacing w:line="360" w:lineRule="auto"/>
              <w:jc w:val="center"/>
              <w:rPr>
                <w:szCs w:val="21"/>
              </w:rPr>
            </w:pPr>
            <w:r>
              <w:rPr>
                <w:rFonts w:hint="eastAsia"/>
                <w:szCs w:val="21"/>
              </w:rPr>
              <w:t>进口</w:t>
            </w:r>
          </w:p>
        </w:tc>
        <w:tc>
          <w:tcPr>
            <w:tcW w:w="1158" w:type="dxa"/>
            <w:vAlign w:val="center"/>
          </w:tcPr>
          <w:p w14:paraId="7383E2F9">
            <w:pPr>
              <w:adjustRightInd w:val="0"/>
              <w:snapToGrid w:val="0"/>
              <w:spacing w:line="360" w:lineRule="auto"/>
              <w:jc w:val="center"/>
              <w:rPr>
                <w:szCs w:val="21"/>
              </w:rPr>
            </w:pPr>
            <w:r>
              <w:rPr>
                <w:rFonts w:hint="eastAsia"/>
                <w:szCs w:val="21"/>
              </w:rPr>
              <w:t>免税</w:t>
            </w:r>
          </w:p>
        </w:tc>
      </w:tr>
    </w:tbl>
    <w:p w14:paraId="00D0F0B2">
      <w:pPr>
        <w:spacing w:line="360" w:lineRule="auto"/>
        <w:ind w:firstLine="420"/>
        <w:jc w:val="left"/>
        <w:rPr>
          <w:rFonts w:ascii="宋体" w:hAnsi="宋体"/>
          <w:b/>
          <w:sz w:val="24"/>
          <w:szCs w:val="24"/>
        </w:rPr>
      </w:pPr>
      <w:r>
        <w:rPr>
          <w:rFonts w:ascii="宋体" w:hAnsi="宋体"/>
          <w:sz w:val="24"/>
          <w:szCs w:val="24"/>
        </w:rPr>
        <w:t>4.</w:t>
      </w:r>
      <w:r>
        <w:rPr>
          <w:rFonts w:hint="eastAsia" w:ascii="宋体" w:hAnsi="宋体"/>
          <w:sz w:val="24"/>
          <w:szCs w:val="24"/>
        </w:rPr>
        <w:t>采购清单</w:t>
      </w:r>
      <w:r>
        <w:rPr>
          <w:rFonts w:hint="eastAsia" w:ascii="宋体" w:hAnsi="宋体"/>
          <w:b/>
          <w:sz w:val="24"/>
          <w:szCs w:val="24"/>
        </w:rPr>
        <w:t>：</w:t>
      </w:r>
    </w:p>
    <w:p w14:paraId="6AAE8559">
      <w:pPr>
        <w:spacing w:line="360" w:lineRule="auto"/>
        <w:outlineLvl w:val="1"/>
        <w:rPr>
          <w:rFonts w:ascii="宋体"/>
          <w:b/>
          <w:sz w:val="24"/>
        </w:rPr>
      </w:pPr>
    </w:p>
    <w:p w14:paraId="443E9960">
      <w:pPr>
        <w:spacing w:line="360" w:lineRule="auto"/>
        <w:outlineLvl w:val="1"/>
        <w:rPr>
          <w:rFonts w:ascii="宋体"/>
          <w:b/>
          <w:sz w:val="24"/>
        </w:rPr>
      </w:pPr>
      <w:r>
        <w:rPr>
          <w:rFonts w:hint="eastAsia" w:ascii="宋体"/>
          <w:b/>
          <w:sz w:val="24"/>
        </w:rPr>
        <w:t>二、商务要求</w:t>
      </w:r>
    </w:p>
    <w:p w14:paraId="308EC859">
      <w:pPr>
        <w:spacing w:line="360" w:lineRule="auto"/>
        <w:outlineLvl w:val="1"/>
        <w:rPr>
          <w:rFonts w:ascii="宋体"/>
          <w:b/>
          <w:sz w:val="24"/>
        </w:rPr>
      </w:pPr>
      <w:r>
        <w:rPr>
          <w:rFonts w:hint="eastAsia" w:ascii="宋体"/>
          <w:b/>
          <w:sz w:val="24"/>
        </w:rPr>
        <w:t>项目从以下选项中选择采用代号_</w:t>
      </w:r>
      <w:r>
        <w:rPr>
          <w:rFonts w:ascii="宋体"/>
          <w:b/>
          <w:color w:val="FFC000"/>
          <w:sz w:val="24"/>
        </w:rPr>
        <w:t>_</w:t>
      </w:r>
      <w:r>
        <w:rPr>
          <w:rFonts w:hint="eastAsia" w:ascii="宋体"/>
          <w:b/>
          <w:color w:val="FFC000"/>
          <w:sz w:val="24"/>
          <w:u w:val="single"/>
        </w:rPr>
        <w:t>A</w:t>
      </w:r>
      <w:r>
        <w:rPr>
          <w:rFonts w:ascii="宋体"/>
          <w:b/>
          <w:color w:val="FFC000"/>
          <w:sz w:val="24"/>
        </w:rPr>
        <w:t>___</w:t>
      </w:r>
      <w:r>
        <w:rPr>
          <w:rFonts w:hint="eastAsia" w:ascii="宋体"/>
          <w:b/>
          <w:sz w:val="24"/>
        </w:rPr>
        <w:t>作为付款方式。</w:t>
      </w:r>
    </w:p>
    <w:tbl>
      <w:tblPr>
        <w:tblStyle w:val="7"/>
        <w:tblW w:w="97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7"/>
        <w:gridCol w:w="6403"/>
        <w:gridCol w:w="1276"/>
        <w:gridCol w:w="1275"/>
      </w:tblGrid>
      <w:tr w14:paraId="5B09D4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1" w:hRule="atLeast"/>
          <w:tblHeader/>
          <w:jc w:val="center"/>
        </w:trPr>
        <w:tc>
          <w:tcPr>
            <w:tcW w:w="817" w:type="dxa"/>
            <w:shd w:val="clear" w:color="auto" w:fill="CCC0D9"/>
            <w:vAlign w:val="center"/>
          </w:tcPr>
          <w:p w14:paraId="70A8DB51">
            <w:pPr>
              <w:adjustRightInd w:val="0"/>
              <w:snapToGrid w:val="0"/>
              <w:spacing w:line="360" w:lineRule="auto"/>
              <w:ind w:firstLine="105" w:firstLineChars="50"/>
              <w:jc w:val="center"/>
              <w:rPr>
                <w:b/>
                <w:szCs w:val="21"/>
              </w:rPr>
            </w:pPr>
            <w:r>
              <w:rPr>
                <w:rFonts w:hint="eastAsia"/>
                <w:b/>
                <w:szCs w:val="21"/>
              </w:rPr>
              <w:t>代</w:t>
            </w:r>
            <w:r>
              <w:rPr>
                <w:b/>
                <w:szCs w:val="21"/>
              </w:rPr>
              <w:t>号</w:t>
            </w:r>
          </w:p>
        </w:tc>
        <w:tc>
          <w:tcPr>
            <w:tcW w:w="6403" w:type="dxa"/>
            <w:shd w:val="clear" w:color="auto" w:fill="CCC0D9"/>
            <w:vAlign w:val="center"/>
          </w:tcPr>
          <w:p w14:paraId="18F29C3A">
            <w:pPr>
              <w:adjustRightInd w:val="0"/>
              <w:snapToGrid w:val="0"/>
              <w:spacing w:line="360" w:lineRule="auto"/>
              <w:jc w:val="center"/>
              <w:rPr>
                <w:b/>
                <w:szCs w:val="21"/>
              </w:rPr>
            </w:pPr>
            <w:r>
              <w:rPr>
                <w:rFonts w:hint="eastAsia"/>
                <w:b/>
                <w:szCs w:val="21"/>
              </w:rPr>
              <w:t>付款方式</w:t>
            </w:r>
          </w:p>
        </w:tc>
        <w:tc>
          <w:tcPr>
            <w:tcW w:w="1276" w:type="dxa"/>
            <w:shd w:val="clear" w:color="auto" w:fill="CCC0D9"/>
            <w:vAlign w:val="center"/>
          </w:tcPr>
          <w:p w14:paraId="2E6022D4">
            <w:pPr>
              <w:adjustRightInd w:val="0"/>
              <w:snapToGrid w:val="0"/>
              <w:spacing w:line="240" w:lineRule="atLeast"/>
              <w:ind w:firstLine="105" w:firstLineChars="50"/>
              <w:jc w:val="center"/>
              <w:rPr>
                <w:b/>
                <w:szCs w:val="21"/>
              </w:rPr>
            </w:pPr>
            <w:r>
              <w:rPr>
                <w:rFonts w:hint="eastAsia"/>
                <w:b/>
                <w:szCs w:val="21"/>
              </w:rPr>
              <w:t>适用范围</w:t>
            </w:r>
          </w:p>
        </w:tc>
        <w:tc>
          <w:tcPr>
            <w:tcW w:w="1275" w:type="dxa"/>
            <w:shd w:val="clear" w:color="auto" w:fill="CCC0D9"/>
            <w:vAlign w:val="center"/>
          </w:tcPr>
          <w:p w14:paraId="3924FCFA">
            <w:pPr>
              <w:adjustRightInd w:val="0"/>
              <w:snapToGrid w:val="0"/>
              <w:spacing w:line="240" w:lineRule="atLeast"/>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备注</w:t>
            </w:r>
          </w:p>
        </w:tc>
      </w:tr>
      <w:tr w14:paraId="63117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8" w:hRule="atLeast"/>
          <w:jc w:val="center"/>
        </w:trPr>
        <w:tc>
          <w:tcPr>
            <w:tcW w:w="817" w:type="dxa"/>
            <w:vAlign w:val="center"/>
          </w:tcPr>
          <w:p w14:paraId="231B5FD0">
            <w:pPr>
              <w:adjustRightInd w:val="0"/>
              <w:snapToGrid w:val="0"/>
              <w:spacing w:line="360" w:lineRule="auto"/>
              <w:jc w:val="center"/>
              <w:rPr>
                <w:sz w:val="24"/>
                <w:szCs w:val="24"/>
              </w:rPr>
            </w:pPr>
            <w:r>
              <w:rPr>
                <w:rFonts w:hint="eastAsia"/>
                <w:sz w:val="24"/>
                <w:szCs w:val="24"/>
              </w:rPr>
              <w:t>A</w:t>
            </w:r>
          </w:p>
        </w:tc>
        <w:tc>
          <w:tcPr>
            <w:tcW w:w="6403" w:type="dxa"/>
            <w:vAlign w:val="center"/>
          </w:tcPr>
          <w:p w14:paraId="6C376B07">
            <w:pPr>
              <w:adjustRightInd w:val="0"/>
              <w:snapToGrid w:val="0"/>
              <w:spacing w:line="360" w:lineRule="auto"/>
              <w:ind w:firstLine="420" w:firstLineChars="200"/>
              <w:rPr>
                <w:rFonts w:ascii="宋体" w:hAnsi="宋体"/>
              </w:rPr>
            </w:pPr>
            <w:r>
              <w:rPr>
                <w:rFonts w:hint="eastAsia" w:ascii="宋体" w:hAnsi="宋体"/>
                <w:color w:val="000000"/>
                <w:szCs w:val="21"/>
              </w:rPr>
              <w:t>采购人、中标人与外贸代理公司签订三方合同。</w:t>
            </w:r>
            <w:r>
              <w:rPr>
                <w:rFonts w:hint="eastAsia" w:ascii="宋体" w:hAnsi="宋体"/>
              </w:rPr>
              <w:t>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w:t>
            </w:r>
            <w:r>
              <w:rPr>
                <w:rFonts w:hint="eastAsia" w:ascii="宋体" w:hAnsi="宋体" w:cs="Arial"/>
                <w:szCs w:val="21"/>
              </w:rPr>
              <w:t>人民币</w:t>
            </w:r>
            <w:r>
              <w:rPr>
                <w:rFonts w:hint="eastAsia" w:ascii="宋体" w:hAnsi="宋体" w:cs="Arial"/>
                <w:b/>
                <w:color w:val="FF0000"/>
                <w:szCs w:val="21"/>
                <w:u w:val="single"/>
              </w:rPr>
              <w:t>*佰*拾*万*仟*佰*拾*元整，¥****.**</w:t>
            </w:r>
            <w:r>
              <w:rPr>
                <w:rFonts w:hint="eastAsia" w:ascii="宋体" w:hAnsi="宋体" w:cs="Arial"/>
                <w:szCs w:val="21"/>
              </w:rPr>
              <w:t>）</w:t>
            </w:r>
            <w:r>
              <w:rPr>
                <w:rFonts w:hint="eastAsia" w:ascii="宋体" w:hAnsi="宋体"/>
              </w:rPr>
              <w:t>支付给外贸代理公司。外贸代理公司收到货款后向中标人指定的外商开立合同总金额80%的不可撤销信用证（L/C)，L/C条件为发货凭单兑付。</w:t>
            </w:r>
          </w:p>
          <w:p w14:paraId="2511DBCA">
            <w:pPr>
              <w:adjustRightInd w:val="0"/>
              <w:snapToGrid w:val="0"/>
              <w:spacing w:line="360" w:lineRule="auto"/>
              <w:ind w:firstLine="420" w:firstLineChars="200"/>
              <w:rPr>
                <w:rFonts w:ascii="宋体" w:hAnsi="宋体"/>
              </w:rPr>
            </w:pPr>
            <w:r>
              <w:rPr>
                <w:rFonts w:hint="eastAsia" w:ascii="宋体" w:hAnsi="宋体"/>
              </w:rPr>
              <w:t>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w:t>
            </w:r>
          </w:p>
          <w:p w14:paraId="39298BC1">
            <w:pPr>
              <w:adjustRightInd w:val="0"/>
              <w:snapToGrid w:val="0"/>
              <w:spacing w:line="360" w:lineRule="auto"/>
              <w:ind w:firstLine="420" w:firstLineChars="200"/>
              <w:rPr>
                <w:rFonts w:ascii="Times New Roman" w:hAnsi="Times New Roman" w:cs="Times New Roman"/>
                <w:sz w:val="24"/>
                <w:szCs w:val="24"/>
              </w:rPr>
            </w:pPr>
            <w:r>
              <w:rPr>
                <w:rFonts w:hint="eastAsia" w:ascii="宋体" w:hAnsi="宋体"/>
              </w:rPr>
              <w:t>（备注：信用证额度不超过进口货物总金额）</w:t>
            </w:r>
          </w:p>
        </w:tc>
        <w:tc>
          <w:tcPr>
            <w:tcW w:w="1276" w:type="dxa"/>
            <w:vAlign w:val="center"/>
          </w:tcPr>
          <w:p w14:paraId="09E34DDF">
            <w:pPr>
              <w:tabs>
                <w:tab w:val="left" w:pos="2835"/>
              </w:tabs>
              <w:topLinePunct/>
              <w:adjustRightInd w:val="0"/>
              <w:snapToGrid w:val="0"/>
              <w:spacing w:line="240" w:lineRule="atLeast"/>
              <w:rPr>
                <w:rFonts w:ascii="宋体" w:hAnsi="宋体"/>
                <w:color w:val="000000"/>
                <w:sz w:val="24"/>
                <w:szCs w:val="24"/>
              </w:rPr>
            </w:pPr>
            <w:r>
              <w:rPr>
                <w:rFonts w:hint="eastAsia" w:ascii="宋体" w:hAnsi="宋体"/>
                <w:color w:val="000000"/>
                <w:sz w:val="24"/>
                <w:szCs w:val="24"/>
              </w:rPr>
              <w:t>进口货物（免税）</w:t>
            </w:r>
          </w:p>
        </w:tc>
        <w:tc>
          <w:tcPr>
            <w:tcW w:w="1275" w:type="dxa"/>
            <w:vAlign w:val="center"/>
          </w:tcPr>
          <w:p w14:paraId="702F26EC">
            <w:pPr>
              <w:adjustRightInd w:val="0"/>
              <w:snapToGrid w:val="0"/>
              <w:spacing w:line="240" w:lineRule="atLeast"/>
              <w:jc w:val="center"/>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预付款</w:t>
            </w:r>
          </w:p>
          <w:p w14:paraId="5BF50D71">
            <w:pPr>
              <w:adjustRightInd w:val="0"/>
              <w:snapToGrid w:val="0"/>
              <w:spacing w:line="240" w:lineRule="atLeast"/>
              <w:jc w:val="center"/>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保函付款</w:t>
            </w:r>
          </w:p>
        </w:tc>
      </w:tr>
      <w:tr w14:paraId="4029D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8" w:hRule="atLeast"/>
          <w:jc w:val="center"/>
        </w:trPr>
        <w:tc>
          <w:tcPr>
            <w:tcW w:w="817" w:type="dxa"/>
            <w:vAlign w:val="center"/>
          </w:tcPr>
          <w:p w14:paraId="30E1E2D0">
            <w:pPr>
              <w:adjustRightInd w:val="0"/>
              <w:snapToGrid w:val="0"/>
              <w:spacing w:line="360" w:lineRule="auto"/>
              <w:jc w:val="center"/>
              <w:rPr>
                <w:sz w:val="24"/>
                <w:szCs w:val="24"/>
              </w:rPr>
            </w:pPr>
            <w:r>
              <w:rPr>
                <w:rFonts w:hint="eastAsia"/>
                <w:sz w:val="24"/>
                <w:szCs w:val="24"/>
              </w:rPr>
              <w:t>B</w:t>
            </w:r>
          </w:p>
        </w:tc>
        <w:tc>
          <w:tcPr>
            <w:tcW w:w="6403" w:type="dxa"/>
            <w:vAlign w:val="center"/>
          </w:tcPr>
          <w:p w14:paraId="64C714C3">
            <w:pPr>
              <w:topLinePunct/>
              <w:adjustRightInd w:val="0"/>
              <w:snapToGrid w:val="0"/>
              <w:spacing w:line="360" w:lineRule="auto"/>
              <w:ind w:firstLine="420" w:firstLineChars="200"/>
              <w:rPr>
                <w:rFonts w:ascii="宋体" w:hAnsi="宋体"/>
                <w:szCs w:val="21"/>
              </w:rPr>
            </w:pPr>
            <w:r>
              <w:rPr>
                <w:rFonts w:hint="eastAsia" w:ascii="宋体" w:hAnsi="宋体"/>
                <w:szCs w:val="21"/>
              </w:rPr>
              <w:t>货物安装调试完毕，经采购人、中标人双方对货物进行验收合格并完成交付后，中标人开具全额增值税专用发票给采购人，采购人按其规章制度办理支付手续向中标人支付全部合同货款。</w:t>
            </w:r>
          </w:p>
        </w:tc>
        <w:tc>
          <w:tcPr>
            <w:tcW w:w="1276" w:type="dxa"/>
            <w:vAlign w:val="center"/>
          </w:tcPr>
          <w:p w14:paraId="44745674">
            <w:pPr>
              <w:adjustRightInd w:val="0"/>
              <w:snapToGrid w:val="0"/>
              <w:spacing w:line="240" w:lineRule="atLeast"/>
              <w:rPr>
                <w:rFonts w:ascii="宋体" w:hAnsi="宋体"/>
                <w:color w:val="000000"/>
                <w:sz w:val="24"/>
                <w:szCs w:val="24"/>
              </w:rPr>
            </w:pPr>
            <w:r>
              <w:rPr>
                <w:rFonts w:hint="eastAsia" w:ascii="宋体" w:hAnsi="宋体"/>
                <w:color w:val="000000"/>
                <w:sz w:val="24"/>
                <w:szCs w:val="24"/>
              </w:rPr>
              <w:t>国内供货（国产设备、</w:t>
            </w:r>
            <w:r>
              <w:rPr>
                <w:rFonts w:hint="eastAsia" w:ascii="宋体" w:hAnsi="宋体"/>
                <w:b/>
                <w:color w:val="000000"/>
                <w:sz w:val="24"/>
                <w:szCs w:val="24"/>
              </w:rPr>
              <w:t>含税</w:t>
            </w:r>
            <w:r>
              <w:rPr>
                <w:rFonts w:hint="eastAsia" w:ascii="宋体" w:hAnsi="宋体"/>
                <w:color w:val="000000"/>
                <w:sz w:val="24"/>
                <w:szCs w:val="24"/>
              </w:rPr>
              <w:t>进口设备）</w:t>
            </w:r>
          </w:p>
        </w:tc>
        <w:tc>
          <w:tcPr>
            <w:tcW w:w="1275" w:type="dxa"/>
            <w:vAlign w:val="center"/>
          </w:tcPr>
          <w:p w14:paraId="3E258345">
            <w:pPr>
              <w:adjustRightInd w:val="0"/>
              <w:snapToGrid w:val="0"/>
              <w:spacing w:line="240" w:lineRule="atLeast"/>
              <w:jc w:val="center"/>
              <w:rPr>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验收合格后付全款</w:t>
            </w:r>
          </w:p>
        </w:tc>
      </w:tr>
      <w:tr w14:paraId="195765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8" w:hRule="atLeast"/>
          <w:jc w:val="center"/>
        </w:trPr>
        <w:tc>
          <w:tcPr>
            <w:tcW w:w="817" w:type="dxa"/>
            <w:vAlign w:val="center"/>
          </w:tcPr>
          <w:p w14:paraId="1FAFEC64">
            <w:pPr>
              <w:adjustRightInd w:val="0"/>
              <w:snapToGrid w:val="0"/>
              <w:spacing w:line="360" w:lineRule="auto"/>
              <w:jc w:val="center"/>
              <w:rPr>
                <w:sz w:val="24"/>
                <w:szCs w:val="24"/>
              </w:rPr>
            </w:pPr>
            <w:r>
              <w:rPr>
                <w:rFonts w:hint="eastAsia"/>
                <w:sz w:val="24"/>
                <w:szCs w:val="24"/>
              </w:rPr>
              <w:t>C</w:t>
            </w:r>
          </w:p>
        </w:tc>
        <w:tc>
          <w:tcPr>
            <w:tcW w:w="6403" w:type="dxa"/>
            <w:vAlign w:val="center"/>
          </w:tcPr>
          <w:p w14:paraId="3B0C8EA5">
            <w:pPr>
              <w:adjustRightInd w:val="0"/>
              <w:snapToGrid w:val="0"/>
              <w:spacing w:line="360" w:lineRule="auto"/>
              <w:ind w:firstLine="420" w:firstLineChars="200"/>
              <w:rPr>
                <w:rFonts w:ascii="宋体" w:hAnsi="宋体"/>
                <w:color w:val="000000"/>
              </w:rPr>
            </w:pPr>
            <w:r>
              <w:rPr>
                <w:rFonts w:hint="eastAsia" w:ascii="宋体" w:hAnsi="宋体"/>
              </w:rPr>
              <w:t>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w:t>
            </w:r>
            <w:r>
              <w:rPr>
                <w:rFonts w:hint="eastAsia" w:ascii="宋体" w:hAnsi="宋体" w:cs="Arial"/>
                <w:szCs w:val="21"/>
              </w:rPr>
              <w:t>人民币</w:t>
            </w:r>
            <w:r>
              <w:rPr>
                <w:rFonts w:hint="eastAsia" w:ascii="宋体" w:hAnsi="宋体" w:cs="Arial"/>
                <w:b/>
                <w:color w:val="FF0000"/>
                <w:szCs w:val="21"/>
                <w:u w:val="single"/>
              </w:rPr>
              <w:t>*佰*拾*万*仟*佰*拾*元整，¥****.**</w:t>
            </w:r>
            <w:r>
              <w:rPr>
                <w:rFonts w:hint="eastAsia" w:ascii="宋体" w:hAnsi="宋体" w:cs="Arial"/>
                <w:szCs w:val="21"/>
              </w:rPr>
              <w:t>）</w:t>
            </w:r>
            <w:r>
              <w:rPr>
                <w:rFonts w:hint="eastAsia" w:ascii="宋体" w:hAnsi="宋体"/>
              </w:rPr>
              <w:t>支付给中标人。</w:t>
            </w:r>
          </w:p>
          <w:p w14:paraId="6BC9335E">
            <w:pPr>
              <w:topLinePunct/>
              <w:adjustRightInd w:val="0"/>
              <w:snapToGrid w:val="0"/>
              <w:spacing w:line="360" w:lineRule="auto"/>
              <w:ind w:firstLine="420"/>
              <w:rPr>
                <w:rFonts w:ascii="宋体" w:hAnsi="宋体"/>
                <w:color w:val="000000"/>
              </w:rPr>
            </w:pPr>
            <w:r>
              <w:rPr>
                <w:rFonts w:hint="eastAsia" w:ascii="宋体" w:hAnsi="宋体"/>
                <w:szCs w:val="21"/>
              </w:rPr>
              <w:t>货物安装调试完毕，经采购人、中标人双方对货物进行验收合格并完成交付后，中标人开具全额增值税专用发票给采购人</w:t>
            </w:r>
            <w:r>
              <w:rPr>
                <w:rFonts w:hint="eastAsia" w:ascii="宋体" w:hAnsi="宋体"/>
                <w:color w:val="000000"/>
              </w:rPr>
              <w:t>，采购人将银行保函原件退回给中标人，中标人自行到银行办理相关手续。</w:t>
            </w:r>
          </w:p>
        </w:tc>
        <w:tc>
          <w:tcPr>
            <w:tcW w:w="1276" w:type="dxa"/>
            <w:vAlign w:val="center"/>
          </w:tcPr>
          <w:p w14:paraId="20C49EC7">
            <w:pPr>
              <w:adjustRightInd w:val="0"/>
              <w:snapToGrid w:val="0"/>
              <w:spacing w:line="240" w:lineRule="atLeast"/>
              <w:rPr>
                <w:rFonts w:ascii="宋体" w:hAnsi="宋体"/>
                <w:color w:val="000000"/>
                <w:sz w:val="24"/>
                <w:szCs w:val="24"/>
              </w:rPr>
            </w:pPr>
            <w:r>
              <w:rPr>
                <w:rFonts w:hint="eastAsia" w:ascii="宋体" w:hAnsi="宋体"/>
                <w:color w:val="000000"/>
                <w:sz w:val="24"/>
                <w:szCs w:val="24"/>
              </w:rPr>
              <w:t>国内供货（国产设备、</w:t>
            </w:r>
            <w:r>
              <w:rPr>
                <w:rFonts w:hint="eastAsia" w:ascii="宋体" w:hAnsi="宋体"/>
                <w:b/>
                <w:color w:val="000000"/>
                <w:sz w:val="24"/>
                <w:szCs w:val="24"/>
              </w:rPr>
              <w:t>含税</w:t>
            </w:r>
            <w:r>
              <w:rPr>
                <w:rFonts w:hint="eastAsia" w:ascii="宋体" w:hAnsi="宋体"/>
                <w:color w:val="000000"/>
                <w:sz w:val="24"/>
                <w:szCs w:val="24"/>
              </w:rPr>
              <w:t>进口设备）</w:t>
            </w:r>
          </w:p>
        </w:tc>
        <w:tc>
          <w:tcPr>
            <w:tcW w:w="1275" w:type="dxa"/>
            <w:vAlign w:val="center"/>
          </w:tcPr>
          <w:p w14:paraId="320BF510">
            <w:pPr>
              <w:adjustRightInd w:val="0"/>
              <w:snapToGrid w:val="0"/>
              <w:spacing w:line="240" w:lineRule="atLeast"/>
              <w:jc w:val="center"/>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预付款</w:t>
            </w:r>
          </w:p>
          <w:p w14:paraId="0FC52635">
            <w:pPr>
              <w:adjustRightInd w:val="0"/>
              <w:snapToGrid w:val="0"/>
              <w:spacing w:line="240" w:lineRule="atLeast"/>
              <w:jc w:val="center"/>
              <w:rPr>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保函付款</w:t>
            </w:r>
          </w:p>
        </w:tc>
      </w:tr>
      <w:tr w14:paraId="012CF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8" w:hRule="atLeast"/>
          <w:jc w:val="center"/>
        </w:trPr>
        <w:tc>
          <w:tcPr>
            <w:tcW w:w="817" w:type="dxa"/>
            <w:vAlign w:val="center"/>
          </w:tcPr>
          <w:p w14:paraId="48F09797">
            <w:pPr>
              <w:adjustRightInd w:val="0"/>
              <w:snapToGrid w:val="0"/>
              <w:spacing w:line="360" w:lineRule="auto"/>
              <w:jc w:val="center"/>
              <w:rPr>
                <w:sz w:val="24"/>
                <w:szCs w:val="24"/>
              </w:rPr>
            </w:pPr>
            <w:r>
              <w:rPr>
                <w:rFonts w:hint="eastAsia"/>
                <w:sz w:val="24"/>
                <w:szCs w:val="24"/>
              </w:rPr>
              <w:t>D</w:t>
            </w:r>
          </w:p>
        </w:tc>
        <w:tc>
          <w:tcPr>
            <w:tcW w:w="6403" w:type="dxa"/>
            <w:vAlign w:val="center"/>
          </w:tcPr>
          <w:p w14:paraId="50F45F49">
            <w:pPr>
              <w:adjustRightInd w:val="0"/>
              <w:snapToGrid w:val="0"/>
              <w:spacing w:line="360" w:lineRule="auto"/>
              <w:ind w:firstLine="420" w:firstLineChars="200"/>
              <w:rPr>
                <w:rFonts w:ascii="宋体" w:hAnsi="宋体"/>
                <w:szCs w:val="21"/>
              </w:rPr>
            </w:pPr>
            <w:r>
              <w:rPr>
                <w:rFonts w:hint="eastAsia" w:ascii="宋体" w:hAnsi="宋体"/>
                <w:szCs w:val="21"/>
              </w:rPr>
              <w:t>合同生效后，采购人按相关规定向中标人支付XX%</w:t>
            </w:r>
            <w:r>
              <w:rPr>
                <w:rFonts w:hint="eastAsia" w:ascii="宋体" w:hAnsi="宋体"/>
              </w:rPr>
              <w:t>（</w:t>
            </w:r>
            <w:r>
              <w:rPr>
                <w:rFonts w:hint="eastAsia" w:ascii="宋体" w:hAnsi="宋体" w:cs="Arial"/>
                <w:szCs w:val="21"/>
              </w:rPr>
              <w:t>人民币</w:t>
            </w:r>
            <w:r>
              <w:rPr>
                <w:rFonts w:hint="eastAsia" w:ascii="宋体" w:hAnsi="宋体" w:cs="Arial"/>
                <w:b/>
                <w:color w:val="FF0000"/>
                <w:szCs w:val="21"/>
                <w:u w:val="single"/>
              </w:rPr>
              <w:t>*佰*拾*万*仟*佰*拾*元整，¥****.**</w:t>
            </w:r>
            <w:r>
              <w:rPr>
                <w:rFonts w:hint="eastAsia" w:ascii="宋体" w:hAnsi="宋体" w:cs="Arial"/>
                <w:szCs w:val="21"/>
              </w:rPr>
              <w:t>）</w:t>
            </w:r>
            <w:r>
              <w:rPr>
                <w:rFonts w:hint="eastAsia" w:ascii="宋体" w:hAnsi="宋体"/>
                <w:szCs w:val="21"/>
              </w:rPr>
              <w:t>的合同货款作为预付款。</w:t>
            </w:r>
          </w:p>
          <w:p w14:paraId="49F84EC8">
            <w:pPr>
              <w:adjustRightInd w:val="0"/>
              <w:snapToGrid w:val="0"/>
              <w:spacing w:line="360" w:lineRule="auto"/>
              <w:ind w:firstLine="420" w:firstLineChars="200"/>
              <w:rPr>
                <w:rFonts w:ascii="宋体" w:hAnsi="宋体"/>
                <w:szCs w:val="21"/>
              </w:rPr>
            </w:pPr>
            <w:r>
              <w:rPr>
                <w:rFonts w:hint="eastAsia" w:ascii="宋体" w:hAnsi="宋体"/>
                <w:szCs w:val="21"/>
              </w:rPr>
              <w:t>货物安装调试完毕，经采购人、中标人双方对货物进行验收合格并完成交付后，中标人开具全额增值税专用发票给采购人作为报账凭证。收到报账凭证后，采购人按其规章制度办理支付手续向中标人支付剩余XX%</w:t>
            </w:r>
            <w:r>
              <w:rPr>
                <w:rFonts w:hint="eastAsia" w:ascii="宋体" w:hAnsi="宋体"/>
              </w:rPr>
              <w:t>（</w:t>
            </w:r>
            <w:r>
              <w:rPr>
                <w:rFonts w:hint="eastAsia" w:ascii="宋体" w:hAnsi="宋体" w:cs="Arial"/>
                <w:szCs w:val="21"/>
              </w:rPr>
              <w:t>人民币</w:t>
            </w:r>
            <w:r>
              <w:rPr>
                <w:rFonts w:hint="eastAsia" w:ascii="宋体" w:hAnsi="宋体" w:cs="Arial"/>
                <w:b/>
                <w:color w:val="FF0000"/>
                <w:szCs w:val="21"/>
                <w:u w:val="single"/>
              </w:rPr>
              <w:t>*佰*拾*万*仟*佰*拾*元整，¥****.**</w:t>
            </w:r>
            <w:r>
              <w:rPr>
                <w:rFonts w:hint="eastAsia" w:ascii="宋体" w:hAnsi="宋体" w:cs="Arial"/>
                <w:szCs w:val="21"/>
              </w:rPr>
              <w:t>）</w:t>
            </w:r>
            <w:r>
              <w:rPr>
                <w:rFonts w:hint="eastAsia" w:ascii="宋体" w:hAnsi="宋体"/>
                <w:szCs w:val="21"/>
              </w:rPr>
              <w:t>的合同货款。</w:t>
            </w:r>
          </w:p>
          <w:p w14:paraId="55F331A3">
            <w:pPr>
              <w:adjustRightInd w:val="0"/>
              <w:snapToGrid w:val="0"/>
              <w:spacing w:line="360" w:lineRule="auto"/>
              <w:ind w:firstLine="420" w:firstLineChars="200"/>
              <w:rPr>
                <w:rFonts w:ascii="Times New Roman" w:hAnsi="Times New Roman" w:cs="Times New Roman"/>
                <w:sz w:val="24"/>
                <w:szCs w:val="24"/>
              </w:rPr>
            </w:pPr>
            <w:r>
              <w:rPr>
                <w:rFonts w:hint="eastAsia" w:ascii="宋体" w:hAnsi="宋体"/>
                <w:kern w:val="0"/>
              </w:rPr>
              <w:t>（备注：预付比例不超过合同总金额的8</w:t>
            </w:r>
            <w:r>
              <w:rPr>
                <w:rFonts w:ascii="宋体" w:hAnsi="宋体"/>
                <w:kern w:val="0"/>
              </w:rPr>
              <w:t>0</w:t>
            </w:r>
            <w:r>
              <w:rPr>
                <w:rFonts w:hint="eastAsia" w:ascii="宋体" w:hAnsi="宋体"/>
                <w:kern w:val="0"/>
              </w:rPr>
              <w:t>%）</w:t>
            </w:r>
          </w:p>
        </w:tc>
        <w:tc>
          <w:tcPr>
            <w:tcW w:w="1276" w:type="dxa"/>
            <w:vAlign w:val="center"/>
          </w:tcPr>
          <w:p w14:paraId="6DC41207">
            <w:pPr>
              <w:adjustRightInd w:val="0"/>
              <w:snapToGrid w:val="0"/>
              <w:spacing w:line="240" w:lineRule="atLeast"/>
              <w:rPr>
                <w:rFonts w:ascii="宋体" w:hAnsi="宋体"/>
                <w:color w:val="000000"/>
                <w:sz w:val="24"/>
                <w:szCs w:val="24"/>
              </w:rPr>
            </w:pPr>
            <w:r>
              <w:rPr>
                <w:rFonts w:hint="eastAsia" w:ascii="宋体" w:hAnsi="宋体"/>
                <w:color w:val="000000"/>
                <w:sz w:val="24"/>
                <w:szCs w:val="24"/>
              </w:rPr>
              <w:t>国内供货（国产设备、</w:t>
            </w:r>
            <w:r>
              <w:rPr>
                <w:rFonts w:hint="eastAsia" w:ascii="宋体" w:hAnsi="宋体"/>
                <w:b/>
                <w:color w:val="000000"/>
                <w:sz w:val="24"/>
                <w:szCs w:val="24"/>
              </w:rPr>
              <w:t>含税</w:t>
            </w:r>
            <w:r>
              <w:rPr>
                <w:rFonts w:hint="eastAsia" w:ascii="宋体" w:hAnsi="宋体"/>
                <w:color w:val="000000"/>
                <w:sz w:val="24"/>
                <w:szCs w:val="24"/>
              </w:rPr>
              <w:t>进口设备）</w:t>
            </w:r>
          </w:p>
        </w:tc>
        <w:tc>
          <w:tcPr>
            <w:tcW w:w="1275" w:type="dxa"/>
            <w:vAlign w:val="center"/>
          </w:tcPr>
          <w:p w14:paraId="15F49241">
            <w:pPr>
              <w:adjustRightInd w:val="0"/>
              <w:snapToGrid w:val="0"/>
              <w:spacing w:line="240" w:lineRule="atLeast"/>
              <w:jc w:val="center"/>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部分直接预付</w:t>
            </w:r>
          </w:p>
          <w:p w14:paraId="629B76E4">
            <w:pPr>
              <w:adjustRightInd w:val="0"/>
              <w:snapToGrid w:val="0"/>
              <w:spacing w:line="240" w:lineRule="atLeast"/>
              <w:jc w:val="center"/>
              <w:rPr>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（注：须提供预付款审批表）</w:t>
            </w:r>
          </w:p>
        </w:tc>
      </w:tr>
    </w:tbl>
    <w:p w14:paraId="358A030E">
      <w:pPr>
        <w:spacing w:line="360" w:lineRule="auto"/>
        <w:outlineLvl w:val="1"/>
        <w:rPr>
          <w:rFonts w:ascii="宋体"/>
          <w:b/>
          <w:sz w:val="24"/>
        </w:rPr>
      </w:pPr>
    </w:p>
    <w:p w14:paraId="0AA40FB3">
      <w:pPr>
        <w:spacing w:line="360" w:lineRule="auto"/>
        <w:outlineLvl w:val="1"/>
        <w:rPr>
          <w:rFonts w:ascii="宋体"/>
          <w:b/>
          <w:sz w:val="24"/>
        </w:rPr>
      </w:pPr>
      <w:r>
        <w:rPr>
          <w:rFonts w:hint="eastAsia" w:ascii="宋体"/>
          <w:b/>
          <w:sz w:val="24"/>
        </w:rPr>
        <w:t>三、技术要求</w:t>
      </w:r>
    </w:p>
    <w:tbl>
      <w:tblPr>
        <w:tblStyle w:val="7"/>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825"/>
        <w:gridCol w:w="5749"/>
        <w:gridCol w:w="707"/>
        <w:gridCol w:w="707"/>
      </w:tblGrid>
      <w:tr w14:paraId="4FD7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785" w:type="dxa"/>
            <w:tcBorders>
              <w:top w:val="single" w:color="auto" w:sz="4" w:space="0"/>
              <w:left w:val="single" w:color="auto" w:sz="4" w:space="0"/>
              <w:bottom w:val="single" w:color="auto" w:sz="4" w:space="0"/>
              <w:right w:val="single" w:color="auto" w:sz="4" w:space="0"/>
            </w:tcBorders>
            <w:shd w:val="clear" w:color="auto" w:fill="D9D9D9"/>
            <w:vAlign w:val="center"/>
          </w:tcPr>
          <w:p w14:paraId="52FAFC46">
            <w:pPr>
              <w:topLinePunct/>
              <w:adjustRightInd w:val="0"/>
              <w:snapToGrid w:val="0"/>
              <w:spacing w:line="360" w:lineRule="auto"/>
              <w:rPr>
                <w:rFonts w:ascii="宋体" w:hAnsi="宋体" w:cs="宋体"/>
                <w:b/>
                <w:color w:val="FF0000"/>
                <w:sz w:val="24"/>
              </w:rPr>
            </w:pPr>
            <w:r>
              <w:rPr>
                <w:rFonts w:hint="eastAsia" w:ascii="宋体" w:hAnsi="宋体" w:cs="宋体"/>
                <w:b/>
                <w:sz w:val="24"/>
              </w:rPr>
              <w:t>序号</w:t>
            </w:r>
          </w:p>
        </w:tc>
        <w:tc>
          <w:tcPr>
            <w:tcW w:w="1825" w:type="dxa"/>
            <w:tcBorders>
              <w:top w:val="single" w:color="auto" w:sz="4" w:space="0"/>
              <w:left w:val="single" w:color="auto" w:sz="4" w:space="0"/>
              <w:bottom w:val="single" w:color="auto" w:sz="4" w:space="0"/>
              <w:right w:val="single" w:color="auto" w:sz="4" w:space="0"/>
            </w:tcBorders>
            <w:shd w:val="clear" w:color="auto" w:fill="D9D9D9"/>
            <w:vAlign w:val="center"/>
          </w:tcPr>
          <w:p w14:paraId="01ACF6C1">
            <w:pPr>
              <w:topLinePunct/>
              <w:adjustRightInd w:val="0"/>
              <w:snapToGrid w:val="0"/>
              <w:spacing w:line="360" w:lineRule="auto"/>
              <w:ind w:firstLine="241" w:firstLineChars="100"/>
              <w:rPr>
                <w:rFonts w:ascii="宋体" w:hAnsi="宋体" w:cs="宋体"/>
                <w:b/>
                <w:sz w:val="24"/>
              </w:rPr>
            </w:pPr>
            <w:r>
              <w:rPr>
                <w:rFonts w:hint="eastAsia" w:ascii="宋体" w:hAnsi="宋体" w:cs="宋体"/>
                <w:b/>
                <w:sz w:val="24"/>
              </w:rPr>
              <w:t>设备名称</w:t>
            </w:r>
          </w:p>
        </w:tc>
        <w:tc>
          <w:tcPr>
            <w:tcW w:w="5749" w:type="dxa"/>
            <w:tcBorders>
              <w:top w:val="single" w:color="auto" w:sz="4" w:space="0"/>
              <w:left w:val="single" w:color="auto" w:sz="4" w:space="0"/>
              <w:bottom w:val="single" w:color="auto" w:sz="4" w:space="0"/>
              <w:right w:val="single" w:color="auto" w:sz="4" w:space="0"/>
            </w:tcBorders>
            <w:shd w:val="clear" w:color="auto" w:fill="D9D9D9"/>
            <w:vAlign w:val="center"/>
          </w:tcPr>
          <w:p w14:paraId="6382FE1D">
            <w:pPr>
              <w:topLinePunct/>
              <w:adjustRightInd w:val="0"/>
              <w:snapToGrid w:val="0"/>
              <w:spacing w:line="360" w:lineRule="auto"/>
              <w:ind w:firstLine="1687" w:firstLineChars="700"/>
              <w:rPr>
                <w:rFonts w:ascii="宋体" w:hAnsi="宋体" w:cs="宋体"/>
                <w:b/>
                <w:sz w:val="24"/>
              </w:rPr>
            </w:pPr>
            <w:r>
              <w:rPr>
                <w:rFonts w:hint="eastAsia" w:ascii="宋体" w:hAnsi="宋体" w:cs="宋体"/>
                <w:b/>
                <w:sz w:val="24"/>
              </w:rPr>
              <w:t>技术指标及性能说明</w:t>
            </w:r>
          </w:p>
        </w:tc>
        <w:tc>
          <w:tcPr>
            <w:tcW w:w="707" w:type="dxa"/>
            <w:tcBorders>
              <w:top w:val="single" w:color="auto" w:sz="4" w:space="0"/>
              <w:left w:val="single" w:color="auto" w:sz="4" w:space="0"/>
              <w:bottom w:val="single" w:color="auto" w:sz="4" w:space="0"/>
              <w:right w:val="single" w:color="auto" w:sz="4" w:space="0"/>
            </w:tcBorders>
            <w:shd w:val="clear" w:color="auto" w:fill="D9D9D9"/>
            <w:vAlign w:val="center"/>
          </w:tcPr>
          <w:p w14:paraId="335B7AA0">
            <w:pPr>
              <w:topLinePunct/>
              <w:adjustRightInd w:val="0"/>
              <w:snapToGrid w:val="0"/>
              <w:spacing w:line="360" w:lineRule="auto"/>
              <w:jc w:val="center"/>
              <w:rPr>
                <w:rFonts w:ascii="宋体" w:hAnsi="宋体" w:cs="宋体"/>
                <w:b/>
                <w:sz w:val="24"/>
              </w:rPr>
            </w:pPr>
            <w:r>
              <w:rPr>
                <w:rFonts w:hint="eastAsia" w:ascii="宋体" w:hAnsi="宋体" w:cs="宋体"/>
                <w:b/>
                <w:sz w:val="24"/>
              </w:rPr>
              <w:t>数量</w:t>
            </w:r>
          </w:p>
        </w:tc>
        <w:tc>
          <w:tcPr>
            <w:tcW w:w="707" w:type="dxa"/>
            <w:tcBorders>
              <w:top w:val="single" w:color="auto" w:sz="4" w:space="0"/>
              <w:left w:val="single" w:color="auto" w:sz="4" w:space="0"/>
              <w:bottom w:val="single" w:color="auto" w:sz="4" w:space="0"/>
              <w:right w:val="single" w:color="auto" w:sz="4" w:space="0"/>
            </w:tcBorders>
            <w:shd w:val="clear" w:color="auto" w:fill="D9D9D9"/>
            <w:vAlign w:val="center"/>
          </w:tcPr>
          <w:p w14:paraId="577C1FAB">
            <w:pPr>
              <w:topLinePunct/>
              <w:adjustRightInd w:val="0"/>
              <w:snapToGrid w:val="0"/>
              <w:spacing w:line="360" w:lineRule="auto"/>
              <w:jc w:val="center"/>
              <w:rPr>
                <w:rFonts w:ascii="宋体" w:hAnsi="宋体" w:cs="宋体"/>
                <w:b/>
                <w:sz w:val="24"/>
              </w:rPr>
            </w:pPr>
            <w:r>
              <w:rPr>
                <w:rFonts w:hint="eastAsia" w:ascii="宋体" w:hAnsi="宋体" w:cs="宋体"/>
                <w:b/>
                <w:sz w:val="24"/>
              </w:rPr>
              <w:t>单位</w:t>
            </w:r>
          </w:p>
        </w:tc>
      </w:tr>
      <w:tr w14:paraId="6FE8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14:paraId="2583F7FE">
            <w:pPr>
              <w:spacing w:line="360" w:lineRule="auto"/>
              <w:jc w:val="center"/>
              <w:rPr>
                <w:rFonts w:ascii="宋体" w:hAnsi="宋体" w:cs="宋体"/>
                <w:color w:val="FF0000"/>
                <w:sz w:val="24"/>
              </w:rPr>
            </w:pPr>
            <w:r>
              <w:rPr>
                <w:sz w:val="24"/>
              </w:rPr>
              <w:t>1</w:t>
            </w:r>
          </w:p>
        </w:tc>
        <w:tc>
          <w:tcPr>
            <w:tcW w:w="1825" w:type="dxa"/>
            <w:tcBorders>
              <w:top w:val="single" w:color="auto" w:sz="4" w:space="0"/>
              <w:left w:val="single" w:color="auto" w:sz="4" w:space="0"/>
              <w:bottom w:val="single" w:color="auto" w:sz="4" w:space="0"/>
              <w:right w:val="single" w:color="auto" w:sz="4" w:space="0"/>
            </w:tcBorders>
            <w:vAlign w:val="center"/>
          </w:tcPr>
          <w:p w14:paraId="52CDA064">
            <w:pPr>
              <w:snapToGrid w:val="0"/>
              <w:spacing w:line="360" w:lineRule="auto"/>
              <w:jc w:val="center"/>
              <w:rPr>
                <w:rFonts w:ascii="Times New Roman" w:hAnsi="Times New Roman" w:cs="Times New Roman"/>
                <w:color w:val="FF0000"/>
              </w:rPr>
            </w:pPr>
            <w:r>
              <w:rPr>
                <w:rFonts w:hint="eastAsia" w:ascii="Times New Roman" w:hAnsi="Times New Roman" w:cs="Times New Roman"/>
                <w:szCs w:val="21"/>
                <w:lang w:val="en-US" w:eastAsia="zh-CN"/>
              </w:rPr>
              <w:t>可变真空原位场发射扫描电镜</w:t>
            </w:r>
          </w:p>
        </w:tc>
        <w:tc>
          <w:tcPr>
            <w:tcW w:w="5749" w:type="dxa"/>
            <w:tcBorders>
              <w:top w:val="single" w:color="auto" w:sz="4" w:space="0"/>
              <w:left w:val="single" w:color="auto" w:sz="4" w:space="0"/>
              <w:bottom w:val="single" w:color="auto" w:sz="4" w:space="0"/>
              <w:right w:val="single" w:color="auto" w:sz="4" w:space="0"/>
            </w:tcBorders>
            <w:vAlign w:val="center"/>
          </w:tcPr>
          <w:p w14:paraId="01BE497B">
            <w:pPr>
              <w:widowControl/>
              <w:numPr>
                <w:ilvl w:val="0"/>
                <w:numId w:val="0"/>
              </w:numPr>
              <w:tabs>
                <w:tab w:val="left" w:pos="420"/>
              </w:tabs>
              <w:snapToGrid w:val="0"/>
              <w:spacing w:line="288" w:lineRule="auto"/>
              <w:ind w:leftChars="0"/>
              <w:rPr>
                <w:rFonts w:ascii="Times New Roman" w:hAnsi="Times New Roman" w:cs="Times New Roman"/>
                <w:b/>
              </w:rPr>
            </w:pPr>
            <w:r>
              <w:rPr>
                <w:rFonts w:hint="eastAsia" w:ascii="Times New Roman" w:hAnsi="Times New Roman" w:cs="Times New Roman"/>
                <w:b/>
                <w:lang w:val="en-US" w:eastAsia="zh-CN"/>
              </w:rPr>
              <w:t>1</w:t>
            </w:r>
            <w:r>
              <w:rPr>
                <w:rFonts w:hint="eastAsia" w:ascii="Times New Roman" w:hAnsi="Times New Roman" w:cs="Times New Roman"/>
                <w:b/>
              </w:rPr>
              <w:t xml:space="preserve">电子光学系统 </w:t>
            </w:r>
          </w:p>
          <w:p w14:paraId="1BDB6EC7">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1.1 电子枪：配置肖特基热场发射灯丝； </w:t>
            </w:r>
          </w:p>
          <w:p w14:paraId="60F8019A">
            <w:pPr>
              <w:numPr>
                <w:ilvl w:val="1"/>
                <w:numId w:val="0"/>
              </w:numPr>
              <w:tabs>
                <w:tab w:val="left" w:pos="360"/>
                <w:tab w:val="left" w:pos="420"/>
              </w:tabs>
              <w:snapToGrid w:val="0"/>
              <w:spacing w:line="288" w:lineRule="auto"/>
              <w:ind w:left="420" w:leftChars="200"/>
              <w:rPr>
                <w:rFonts w:ascii="Times New Roman" w:hAnsi="Times New Roman" w:cs="Times New Roman"/>
              </w:rPr>
            </w:pPr>
            <w:r>
              <w:rPr>
                <w:rFonts w:hint="eastAsia" w:ascii="宋体"/>
                <w:sz w:val="24"/>
                <w:szCs w:val="24"/>
              </w:rPr>
              <w:t>★</w:t>
            </w:r>
            <w:r>
              <w:rPr>
                <w:rFonts w:hint="eastAsia" w:ascii="Times New Roman" w:hAnsi="Times New Roman" w:cs="Times New Roman"/>
              </w:rPr>
              <w:t>1.2 分辨率：≤0.</w:t>
            </w:r>
            <w:r>
              <w:rPr>
                <w:rFonts w:hint="eastAsia" w:ascii="Times New Roman" w:hAnsi="Times New Roman" w:cs="Times New Roman"/>
                <w:lang w:val="en-US" w:eastAsia="zh-CN"/>
              </w:rPr>
              <w:t>5</w:t>
            </w:r>
            <w:r>
              <w:rPr>
                <w:rFonts w:hint="eastAsia" w:ascii="Times New Roman" w:hAnsi="Times New Roman" w:cs="Times New Roman"/>
              </w:rPr>
              <w:t xml:space="preserve"> nm@15 KV（非样品台减速模式）、≤0.7 nm@1 KV（非样品台减速模式）； </w:t>
            </w:r>
          </w:p>
          <w:p w14:paraId="3F21A704">
            <w:pPr>
              <w:numPr>
                <w:ilvl w:val="1"/>
                <w:numId w:val="0"/>
              </w:numPr>
              <w:tabs>
                <w:tab w:val="left" w:pos="360"/>
                <w:tab w:val="left" w:pos="420"/>
              </w:tabs>
              <w:snapToGrid w:val="0"/>
              <w:spacing w:line="288" w:lineRule="auto"/>
              <w:ind w:left="420" w:leftChars="200"/>
              <w:rPr>
                <w:rFonts w:ascii="Times New Roman" w:hAnsi="Times New Roman" w:cs="Times New Roman"/>
              </w:rPr>
            </w:pPr>
            <w:r>
              <w:rPr>
                <w:rFonts w:hint="eastAsia" w:ascii="Times New Roman" w:hAnsi="Times New Roman" w:cs="Times New Roman"/>
              </w:rPr>
              <w:t xml:space="preserve">▲1.3 加速电压范围（非着陆电压）： 20V-30KV或者更宽，步进10V，连续可调，无需更换模式； </w:t>
            </w:r>
          </w:p>
          <w:p w14:paraId="3B299C7E">
            <w:pPr>
              <w:numPr>
                <w:ilvl w:val="1"/>
                <w:numId w:val="0"/>
              </w:numPr>
              <w:tabs>
                <w:tab w:val="left" w:pos="360"/>
                <w:tab w:val="left" w:pos="420"/>
              </w:tabs>
              <w:snapToGrid w:val="0"/>
              <w:spacing w:line="288" w:lineRule="auto"/>
              <w:ind w:left="420" w:leftChars="200"/>
              <w:rPr>
                <w:rFonts w:ascii="Times New Roman" w:hAnsi="Times New Roman" w:cs="Times New Roman"/>
              </w:rPr>
            </w:pPr>
            <w:r>
              <w:rPr>
                <w:rFonts w:hint="eastAsia" w:ascii="Times New Roman" w:hAnsi="Times New Roman" w:cs="Times New Roman"/>
              </w:rPr>
              <w:t xml:space="preserve">1.4 配备电磁/静电式复合物镜系统，电子束采用无交叉光路设计； </w:t>
            </w:r>
          </w:p>
          <w:p w14:paraId="5A579C5F">
            <w:pPr>
              <w:numPr>
                <w:ilvl w:val="1"/>
                <w:numId w:val="0"/>
              </w:numPr>
              <w:tabs>
                <w:tab w:val="left" w:pos="360"/>
                <w:tab w:val="left" w:pos="420"/>
              </w:tabs>
              <w:snapToGrid w:val="0"/>
              <w:spacing w:line="288" w:lineRule="auto"/>
              <w:ind w:left="420" w:leftChars="200"/>
              <w:rPr>
                <w:rFonts w:ascii="Times New Roman" w:hAnsi="Times New Roman" w:cs="Times New Roman"/>
              </w:rPr>
            </w:pPr>
            <w:r>
              <w:rPr>
                <w:rFonts w:hint="eastAsia" w:ascii="Times New Roman" w:hAnsi="Times New Roman" w:cs="Times New Roman"/>
              </w:rPr>
              <w:t xml:space="preserve">1.5 电子束流：束流范围 3pA～20nA或者更宽； </w:t>
            </w:r>
          </w:p>
          <w:p w14:paraId="58BC4BFA">
            <w:pPr>
              <w:numPr>
                <w:ilvl w:val="1"/>
                <w:numId w:val="0"/>
              </w:numPr>
              <w:tabs>
                <w:tab w:val="left" w:pos="360"/>
                <w:tab w:val="left" w:pos="420"/>
              </w:tabs>
              <w:snapToGrid w:val="0"/>
              <w:spacing w:line="288" w:lineRule="auto"/>
              <w:ind w:left="420" w:leftChars="200"/>
              <w:rPr>
                <w:rFonts w:ascii="Times New Roman" w:hAnsi="Times New Roman" w:cs="Times New Roman"/>
              </w:rPr>
            </w:pPr>
            <w:r>
              <w:rPr>
                <w:rFonts w:hint="eastAsia" w:ascii="Times New Roman" w:hAnsi="Times New Roman" w:cs="Times New Roman"/>
              </w:rPr>
              <w:t xml:space="preserve">1.6 放大倍率：8 倍~200 万倍或者更宽； </w:t>
            </w:r>
          </w:p>
          <w:p w14:paraId="3E955310">
            <w:pPr>
              <w:numPr>
                <w:ilvl w:val="1"/>
                <w:numId w:val="0"/>
              </w:numPr>
              <w:tabs>
                <w:tab w:val="left" w:pos="360"/>
                <w:tab w:val="left" w:pos="420"/>
              </w:tabs>
              <w:snapToGrid w:val="0"/>
              <w:spacing w:line="288" w:lineRule="auto"/>
              <w:ind w:left="420" w:leftChars="200"/>
              <w:rPr>
                <w:rFonts w:ascii="Times New Roman" w:hAnsi="Times New Roman" w:cs="Times New Roman"/>
              </w:rPr>
            </w:pPr>
            <w:r>
              <w:rPr>
                <w:rFonts w:hint="eastAsia" w:ascii="Times New Roman" w:hAnsi="Times New Roman" w:cs="Times New Roman"/>
              </w:rPr>
              <w:t xml:space="preserve">▲1.7 采用由电磁透镜和静电透镜组成的复合物镜系统，镜筒设计可实现对铁磁等磁性材料的近距离（工作距离 2mm 以内）、高分辨观测； </w:t>
            </w:r>
          </w:p>
          <w:p w14:paraId="0A45BDA3">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1.8 物镜光阑数量≥6，通过软件控制光阑切换与对中；</w:t>
            </w:r>
          </w:p>
          <w:p w14:paraId="2AC17FAC">
            <w:pPr>
              <w:numPr>
                <w:ilvl w:val="1"/>
                <w:numId w:val="0"/>
              </w:numPr>
              <w:tabs>
                <w:tab w:val="left" w:pos="360"/>
                <w:tab w:val="left" w:pos="420"/>
              </w:tabs>
              <w:snapToGrid w:val="0"/>
              <w:spacing w:line="288" w:lineRule="auto"/>
              <w:ind w:left="420" w:leftChars="200"/>
              <w:rPr>
                <w:rFonts w:ascii="Times New Roman" w:hAnsi="Times New Roman" w:cs="Times New Roman"/>
              </w:rPr>
            </w:pPr>
            <w:r>
              <w:rPr>
                <w:rFonts w:hint="eastAsia" w:ascii="Times New Roman" w:hAnsi="Times New Roman" w:cs="Times New Roman"/>
              </w:rPr>
              <w:t xml:space="preserve"> </w:t>
            </w:r>
          </w:p>
          <w:p w14:paraId="7A89ABA9">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 xml:space="preserve">2样品室及样品台 </w:t>
            </w:r>
          </w:p>
          <w:p w14:paraId="0268BCFB">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▲2.1 样品室内部尺寸： ≥360 mm（直径）×270 mm（高度）； </w:t>
            </w:r>
          </w:p>
          <w:p w14:paraId="15FDD178">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▲2.2 配置五轴全自动马达驱动样品台，样品台水平方向最大移动范围 X 轴≥130 mm，Y 轴≥130 mm，马达台 Z 轴最大移动行程≥50 mm，倾斜范围-4°~+70°，可 360°旋转； </w:t>
            </w:r>
          </w:p>
          <w:p w14:paraId="347FDC20">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2.3 能谱仪最佳分析工作距离≤8.5mm； </w:t>
            </w:r>
          </w:p>
          <w:p w14:paraId="70C25FC0">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2.4 配置可快捷控制马达台五个轴向移动的双摇杆控制器，配置多功能旋钮操作控制面板；</w:t>
            </w:r>
          </w:p>
          <w:p w14:paraId="6E26A0AF">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2.5端口数：≥12 个探测器/附件接口； </w:t>
            </w:r>
          </w:p>
          <w:p w14:paraId="153C14F3">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2.6预留 EDS、EBSD 接口,预留其他附件接口。</w:t>
            </w:r>
          </w:p>
          <w:p w14:paraId="6B15CDF4">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2.7 样品预备交换室，可放置最大样品直径≥60mm。</w:t>
            </w:r>
          </w:p>
          <w:p w14:paraId="3D37EE7B">
            <w:pPr>
              <w:numPr>
                <w:ilvl w:val="1"/>
                <w:numId w:val="0"/>
              </w:numPr>
              <w:tabs>
                <w:tab w:val="left" w:pos="360"/>
                <w:tab w:val="left" w:pos="420"/>
              </w:tabs>
              <w:snapToGrid w:val="0"/>
              <w:spacing w:line="288" w:lineRule="auto"/>
              <w:ind w:left="420" w:leftChars="200"/>
              <w:rPr>
                <w:rFonts w:hint="default" w:ascii="Times New Roman" w:hAnsi="Times New Roman" w:cs="Times New Roman"/>
                <w:lang w:val="en-US" w:eastAsia="zh-CN"/>
              </w:rPr>
            </w:pPr>
          </w:p>
          <w:p w14:paraId="7E55CF08">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 xml:space="preserve">3 探测器 </w:t>
            </w:r>
            <w:bookmarkStart w:id="0" w:name="_GoBack"/>
            <w:bookmarkEnd w:id="0"/>
          </w:p>
          <w:p w14:paraId="01D06ED2">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3.1 配备独立的镜筒内高分辨正光轴环形二次电子探测器； </w:t>
            </w:r>
          </w:p>
          <w:p w14:paraId="3759D0B5">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▲3.2 配备独立的镜筒内环形能量选择式背散射电子探测器，带能量过滤栅网，用于过滤能量的栅网电压可调范围0V~1500 V； </w:t>
            </w:r>
          </w:p>
          <w:p w14:paraId="140B1B15">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3.3 配备样品室内二次电子探测器； </w:t>
            </w:r>
          </w:p>
          <w:p w14:paraId="08FA8CB4">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3.4 配备样品室内气动伸缩环形 6 分割背散射电子探测器； </w:t>
            </w:r>
          </w:p>
          <w:p w14:paraId="22E2E7F3">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▲3.5 配备高分辨扫描透射探测器，分辨率：≤0.4 nm@</w:t>
            </w:r>
            <w:r>
              <w:rPr>
                <w:rFonts w:hint="eastAsia" w:ascii="Times New Roman" w:hAnsi="Times New Roman" w:cs="Times New Roman"/>
                <w:lang w:val="en-US" w:eastAsia="zh-CN"/>
              </w:rPr>
              <w:t>30</w:t>
            </w:r>
            <w:r>
              <w:rPr>
                <w:rFonts w:hint="eastAsia" w:ascii="Times New Roman" w:hAnsi="Times New Roman" w:cs="Times New Roman"/>
              </w:rPr>
              <w:t xml:space="preserve"> KV；</w:t>
            </w:r>
          </w:p>
          <w:p w14:paraId="07737C74">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3.6 配置样品室内彩色红外 CCD 相机探测器，可实时监控样品室内样品和设备各部件之间的相互位置关系； </w:t>
            </w:r>
          </w:p>
          <w:p w14:paraId="1DAD9869">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3.7 配置双通道功能，电子束在同一区域扫描时，可开启任意两个探测器同时、分别成像，可同时开启样品舱内和镜筒的二次电子探测器同时成像，可同时开启背散射电子探测器和二次电子探测器；  </w:t>
            </w:r>
          </w:p>
          <w:p w14:paraId="11632F01">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3.8 可以获得独立的二次电子图像、背散射电子图像以及二次电子和背散射电子叠加图像； </w:t>
            </w:r>
          </w:p>
          <w:p w14:paraId="0068E31B">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3.9 配置样品电流检测器，集成触碰警报</w:t>
            </w:r>
            <w:r>
              <w:rPr>
                <w:rFonts w:hint="eastAsia" w:ascii="Times New Roman" w:hAnsi="Times New Roman" w:cs="Times New Roman"/>
                <w:lang w:eastAsia="zh-CN"/>
              </w:rPr>
              <w:t>。</w:t>
            </w:r>
            <w:r>
              <w:rPr>
                <w:rFonts w:hint="eastAsia" w:ascii="Times New Roman" w:hAnsi="Times New Roman" w:cs="Times New Roman"/>
              </w:rPr>
              <w:t xml:space="preserve"> </w:t>
            </w:r>
          </w:p>
          <w:p w14:paraId="7D77FBF0">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p>
          <w:p w14:paraId="062AC2E6">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 xml:space="preserve">4 控制和数据处理系统 </w:t>
            </w:r>
          </w:p>
          <w:p w14:paraId="646100AE">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4.</w:t>
            </w:r>
            <w:r>
              <w:rPr>
                <w:rFonts w:hint="eastAsia" w:ascii="Times New Roman" w:hAnsi="Times New Roman" w:cs="Times New Roman"/>
                <w:lang w:val="en-US" w:eastAsia="zh-CN"/>
              </w:rPr>
              <w:t>1</w:t>
            </w:r>
            <w:r>
              <w:rPr>
                <w:rFonts w:hint="eastAsia" w:ascii="Times New Roman" w:hAnsi="Times New Roman" w:cs="Times New Roman"/>
              </w:rPr>
              <w:t>计算机工作站基于WIN 10及以上操作系统的图形用户界面；</w:t>
            </w:r>
            <w:r>
              <w:rPr>
                <w:rFonts w:hint="eastAsia" w:ascii="Times New Roman" w:hAnsi="Times New Roman" w:cs="Times New Roman"/>
              </w:rPr>
              <w:br w:type="textWrapping"/>
            </w:r>
            <w:r>
              <w:rPr>
                <w:rFonts w:hint="eastAsia" w:ascii="Times New Roman" w:hAnsi="Times New Roman" w:cs="Times New Roman"/>
              </w:rPr>
              <w:t>4.</w:t>
            </w:r>
            <w:r>
              <w:rPr>
                <w:rFonts w:hint="eastAsia" w:ascii="Times New Roman" w:hAnsi="Times New Roman" w:cs="Times New Roman"/>
                <w:lang w:val="en-US" w:eastAsia="zh-CN"/>
              </w:rPr>
              <w:t>2</w:t>
            </w:r>
            <w:r>
              <w:rPr>
                <w:rFonts w:hint="eastAsia" w:ascii="Times New Roman" w:hAnsi="Times New Roman" w:cs="Times New Roman"/>
              </w:rPr>
              <w:t xml:space="preserve"> 图像显示：≥ </w:t>
            </w:r>
            <w:r>
              <w:rPr>
                <w:rFonts w:hint="eastAsia" w:ascii="Times New Roman" w:hAnsi="Times New Roman" w:cs="Times New Roman"/>
                <w:lang w:val="en-US" w:eastAsia="zh-CN"/>
              </w:rPr>
              <w:t>两</w:t>
            </w:r>
            <w:r>
              <w:rPr>
                <w:rFonts w:hint="eastAsia" w:ascii="Times New Roman" w:hAnsi="Times New Roman" w:cs="Times New Roman"/>
              </w:rPr>
              <w:t>台</w:t>
            </w:r>
            <w:r>
              <w:rPr>
                <w:rFonts w:hint="eastAsia" w:ascii="Times New Roman" w:hAnsi="Times New Roman" w:cs="Times New Roman"/>
                <w:lang w:val="en-US" w:eastAsia="zh-CN"/>
              </w:rPr>
              <w:t>24</w:t>
            </w:r>
            <w:r>
              <w:rPr>
                <w:rFonts w:hint="eastAsia" w:ascii="Times New Roman" w:hAnsi="Times New Roman" w:cs="Times New Roman"/>
              </w:rPr>
              <w:t>寸液晶显示器；</w:t>
            </w:r>
          </w:p>
          <w:p w14:paraId="50D6C6C1">
            <w:pPr>
              <w:numPr>
                <w:ilvl w:val="1"/>
                <w:numId w:val="0"/>
              </w:numPr>
              <w:tabs>
                <w:tab w:val="left" w:pos="360"/>
                <w:tab w:val="left" w:pos="420"/>
              </w:tabs>
              <w:snapToGrid w:val="0"/>
              <w:spacing w:line="288" w:lineRule="auto"/>
              <w:ind w:left="420" w:leftChars="200"/>
              <w:rPr>
                <w:rFonts w:hint="eastAsia" w:ascii="Times New Roman" w:hAnsi="Times New Roman" w:cs="Times New Roman" w:eastAsiaTheme="minorEastAsia"/>
                <w:lang w:eastAsia="zh-CN"/>
              </w:rPr>
            </w:pPr>
            <w:r>
              <w:rPr>
                <w:rFonts w:hint="eastAsia" w:ascii="Times New Roman" w:hAnsi="Times New Roman" w:cs="Times New Roman"/>
              </w:rPr>
              <w:t>4.</w:t>
            </w:r>
            <w:r>
              <w:rPr>
                <w:rFonts w:hint="eastAsia" w:ascii="Times New Roman" w:hAnsi="Times New Roman" w:cs="Times New Roman"/>
                <w:lang w:val="en-US" w:eastAsia="zh-CN"/>
              </w:rPr>
              <w:t>3</w:t>
            </w:r>
            <w:r>
              <w:rPr>
                <w:rFonts w:hint="eastAsia" w:ascii="Times New Roman" w:hAnsi="Times New Roman" w:cs="Times New Roman"/>
              </w:rPr>
              <w:t xml:space="preserve"> 自动调节功能必须包含：亮度与衬度、调焦和象散、动态聚焦、漂移矫正、倾斜补偿</w:t>
            </w:r>
            <w:r>
              <w:rPr>
                <w:rFonts w:hint="eastAsia" w:ascii="Times New Roman" w:hAnsi="Times New Roman" w:cs="Times New Roman"/>
                <w:lang w:eastAsia="zh-CN"/>
              </w:rPr>
              <w:t>。</w:t>
            </w:r>
          </w:p>
          <w:p w14:paraId="0334693F">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p>
          <w:p w14:paraId="56730F25">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5 可变真空模式</w:t>
            </w:r>
          </w:p>
          <w:p w14:paraId="30F75491">
            <w:pPr>
              <w:numPr>
                <w:ilvl w:val="1"/>
                <w:numId w:val="0"/>
              </w:numPr>
              <w:tabs>
                <w:tab w:val="left" w:pos="360"/>
                <w:tab w:val="left" w:pos="420"/>
              </w:tabs>
              <w:snapToGrid w:val="0"/>
              <w:spacing w:line="288" w:lineRule="auto"/>
              <w:ind w:left="420" w:leftChars="200"/>
              <w:rPr>
                <w:rFonts w:hint="eastAsia" w:ascii="Times New Roman" w:hAnsi="Times New Roman" w:cs="Times New Roman" w:eastAsiaTheme="minorEastAsia"/>
                <w:lang w:eastAsia="zh-CN"/>
              </w:rPr>
            </w:pPr>
            <w:r>
              <w:rPr>
                <w:rFonts w:hint="eastAsia" w:ascii="Times New Roman" w:hAnsi="Times New Roman" w:cs="Times New Roman"/>
              </w:rPr>
              <w:t>★5.1 配置可变真空模式二次电子探测器</w:t>
            </w:r>
            <w:r>
              <w:rPr>
                <w:rFonts w:hint="eastAsia" w:ascii="Times New Roman" w:hAnsi="Times New Roman" w:cs="Times New Roman"/>
                <w:lang w:eastAsia="zh-CN"/>
              </w:rPr>
              <w:t>。</w:t>
            </w:r>
          </w:p>
          <w:p w14:paraId="6D580B28">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p>
          <w:p w14:paraId="04EE700D">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 xml:space="preserve">6 真空系统 </w:t>
            </w:r>
          </w:p>
          <w:p w14:paraId="3B9D977C">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6.1 配备必要的无油干泵、分子泵、离子泵等，自动抽真空，完全气动阀自动控制； </w:t>
            </w:r>
          </w:p>
          <w:p w14:paraId="647329BA">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 xml:space="preserve">6.2电子枪真空度：&lt; 5×10-9mbar； </w:t>
            </w:r>
          </w:p>
          <w:p w14:paraId="24B8586E">
            <w:pPr>
              <w:numPr>
                <w:ilvl w:val="1"/>
                <w:numId w:val="0"/>
              </w:numPr>
              <w:tabs>
                <w:tab w:val="left" w:pos="360"/>
                <w:tab w:val="left" w:pos="420"/>
              </w:tabs>
              <w:snapToGrid w:val="0"/>
              <w:spacing w:line="288" w:lineRule="auto"/>
              <w:ind w:left="420" w:leftChars="200"/>
              <w:rPr>
                <w:rFonts w:hint="eastAsia" w:ascii="Times New Roman" w:hAnsi="Times New Roman" w:cs="Times New Roman"/>
                <w:lang w:eastAsia="zh-CN"/>
              </w:rPr>
            </w:pPr>
            <w:r>
              <w:rPr>
                <w:rFonts w:hint="eastAsia" w:ascii="Times New Roman" w:hAnsi="Times New Roman" w:cs="Times New Roman"/>
              </w:rPr>
              <w:t>6.3样品室真空度：&lt; 5×10-6mbar</w:t>
            </w:r>
            <w:r>
              <w:rPr>
                <w:rFonts w:hint="eastAsia" w:ascii="Times New Roman" w:hAnsi="Times New Roman" w:cs="Times New Roman"/>
                <w:lang w:eastAsia="zh-CN"/>
              </w:rPr>
              <w:t>。</w:t>
            </w:r>
          </w:p>
          <w:p w14:paraId="11F4443D">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p>
          <w:p w14:paraId="33FCF7A1">
            <w:pPr>
              <w:snapToGrid w:val="0"/>
              <w:spacing w:line="360" w:lineRule="auto"/>
              <w:jc w:val="left"/>
              <w:rPr>
                <w:rFonts w:ascii="宋体"/>
                <w:sz w:val="24"/>
                <w:szCs w:val="24"/>
              </w:rPr>
            </w:pPr>
            <w:r>
              <w:rPr>
                <w:rFonts w:hint="eastAsia" w:ascii="宋体"/>
                <w:sz w:val="24"/>
                <w:szCs w:val="24"/>
              </w:rPr>
              <w:t>附件技术指标</w:t>
            </w:r>
          </w:p>
          <w:p w14:paraId="2D692B43">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7 能谱仪</w:t>
            </w:r>
          </w:p>
          <w:p w14:paraId="71CE481F">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1该设备可与主机配套使用，用于材料的微区成分定性定量分析；</w:t>
            </w:r>
          </w:p>
          <w:p w14:paraId="10083F8A">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lang w:val="en-US" w:eastAsia="zh-CN"/>
              </w:rPr>
              <w:t>7.</w:t>
            </w:r>
            <w:r>
              <w:rPr>
                <w:rFonts w:hint="eastAsia" w:ascii="Times New Roman" w:hAnsi="Times New Roman" w:cs="Times New Roman"/>
              </w:rPr>
              <w:t>2探测器：分析型SDD硅漂移电制冷探测器，</w:t>
            </w:r>
            <w:r>
              <w:rPr>
                <w:rFonts w:hint="eastAsia" w:ascii="Times New Roman" w:hAnsi="Times New Roman" w:cs="Times New Roman"/>
                <w:lang w:val="en-US" w:eastAsia="zh-CN"/>
              </w:rPr>
              <w:t>单个或两个</w:t>
            </w:r>
            <w:r>
              <w:rPr>
                <w:rFonts w:hint="eastAsia" w:ascii="Times New Roman" w:hAnsi="Times New Roman" w:cs="Times New Roman"/>
              </w:rPr>
              <w:t>晶体有效面积</w:t>
            </w:r>
            <w:r>
              <w:rPr>
                <w:rFonts w:hint="eastAsia" w:ascii="Times New Roman" w:hAnsi="Times New Roman" w:cs="Times New Roman"/>
                <w:lang w:val="en-US" w:eastAsia="zh-CN"/>
              </w:rPr>
              <w:t>总和</w:t>
            </w:r>
            <w:r>
              <w:rPr>
                <w:rFonts w:hint="eastAsia" w:ascii="Times New Roman" w:hAnsi="Times New Roman" w:cs="Times New Roman"/>
              </w:rPr>
              <w:t>不小于1</w:t>
            </w:r>
            <w:r>
              <w:rPr>
                <w:rFonts w:hint="eastAsia" w:ascii="Times New Roman" w:hAnsi="Times New Roman" w:cs="Times New Roman"/>
                <w:lang w:val="en-US" w:eastAsia="zh-CN"/>
              </w:rPr>
              <w:t>7</w:t>
            </w:r>
            <w:r>
              <w:rPr>
                <w:rFonts w:hint="eastAsia" w:ascii="Times New Roman" w:hAnsi="Times New Roman" w:cs="Times New Roman"/>
              </w:rPr>
              <w:t>0mm</w:t>
            </w:r>
            <w:r>
              <w:rPr>
                <w:rFonts w:hint="eastAsia" w:ascii="Times New Roman" w:hAnsi="Times New Roman" w:cs="Times New Roman"/>
                <w:vertAlign w:val="superscript"/>
              </w:rPr>
              <w:t>2</w:t>
            </w:r>
            <w:r>
              <w:rPr>
                <w:rFonts w:hint="eastAsia" w:ascii="Times New Roman" w:hAnsi="Times New Roman" w:cs="Times New Roman"/>
              </w:rPr>
              <w:t>，高分子超薄窗设计；</w:t>
            </w:r>
          </w:p>
          <w:p w14:paraId="3A528DFE">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3 元素分析范围：Be4～Cf98。</w:t>
            </w:r>
          </w:p>
          <w:p w14:paraId="27EFD9B0">
            <w:pPr>
              <w:numPr>
                <w:ilvl w:val="1"/>
                <w:numId w:val="0"/>
              </w:numPr>
              <w:tabs>
                <w:tab w:val="left" w:pos="360"/>
                <w:tab w:val="left" w:pos="420"/>
              </w:tabs>
              <w:snapToGrid w:val="0"/>
              <w:spacing w:line="288" w:lineRule="auto"/>
              <w:ind w:left="420" w:leftChars="200"/>
              <w:rPr>
                <w:rFonts w:hint="eastAsia" w:ascii="Times New Roman" w:hAnsi="Times New Roman" w:cs="Times New Roman"/>
                <w:lang w:eastAsia="zh-CN"/>
              </w:rPr>
            </w:pPr>
            <w:r>
              <w:rPr>
                <w:rFonts w:hint="eastAsia" w:ascii="Times New Roman" w:hAnsi="Times New Roman" w:cs="Times New Roman"/>
                <w:lang w:val="en-US" w:eastAsia="zh-CN"/>
              </w:rPr>
              <w:t>7.</w:t>
            </w:r>
            <w:r>
              <w:rPr>
                <w:rFonts w:hint="eastAsia" w:ascii="Times New Roman" w:hAnsi="Times New Roman" w:cs="Times New Roman"/>
              </w:rPr>
              <w:t>4 能量分辨率：Mn Ka于130,000 cps下保证优于127eV</w:t>
            </w:r>
            <w:r>
              <w:rPr>
                <w:rFonts w:hint="eastAsia" w:ascii="Times New Roman" w:hAnsi="Times New Roman" w:cs="Times New Roman"/>
                <w:lang w:eastAsia="zh-CN"/>
              </w:rPr>
              <w:t>；</w:t>
            </w:r>
          </w:p>
          <w:p w14:paraId="667EC9D7">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5 具备零峰修正功能, 可以快速稳定谱峰, 开机后无需重新修正峰位。</w:t>
            </w:r>
          </w:p>
          <w:p w14:paraId="44F838F3">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6 具备元素spectrum Live和元素面分布Live实时刷新显示功能：可实时观测样品区域变化或者形态转变时，谱图spectrum和Mapping的动态变化过程；</w:t>
            </w:r>
          </w:p>
          <w:p w14:paraId="446CF76A">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7含有元素追踪功能：实时记录样品轨迹，并通过元素含量指示，一键返回感兴趣区域。</w:t>
            </w:r>
          </w:p>
          <w:p w14:paraId="391E62E5">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8 定性分析：AutoID可自动标识谱峰，可进行谱重构。</w:t>
            </w:r>
          </w:p>
          <w:p w14:paraId="0C491F0D">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9 定量分析：采用XPP定量修正技术。</w:t>
            </w:r>
          </w:p>
          <w:p w14:paraId="78E7EE70">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1</w:t>
            </w:r>
            <w:r>
              <w:rPr>
                <w:rFonts w:hint="eastAsia" w:ascii="Times New Roman" w:hAnsi="Times New Roman" w:cs="Times New Roman"/>
                <w:lang w:val="en-US" w:eastAsia="zh-CN"/>
              </w:rPr>
              <w:t>0</w:t>
            </w:r>
            <w:r>
              <w:rPr>
                <w:rFonts w:hint="eastAsia" w:ascii="Times New Roman" w:hAnsi="Times New Roman" w:cs="Times New Roman"/>
              </w:rPr>
              <w:t xml:space="preserve"> 配备Trumap真实面分布，Autolock漂移矫正，LAM大面积拼图功能，定量线扫、定量面分布等软件高配功能，并包含5个离线处理dongle。</w:t>
            </w:r>
          </w:p>
          <w:p w14:paraId="0EE407EB">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p>
          <w:p w14:paraId="044DF35A">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8 原位电化学模块</w:t>
            </w:r>
          </w:p>
          <w:p w14:paraId="42CDEB67">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8</w:t>
            </w:r>
            <w:r>
              <w:rPr>
                <w:rFonts w:hint="eastAsia" w:ascii="Times New Roman" w:hAnsi="Times New Roman" w:cs="Times New Roman"/>
              </w:rPr>
              <w:t>.1 原位样品台采用高强度钛合金材质，轻质无磁性，可在电镜内的安全使用；</w:t>
            </w:r>
          </w:p>
          <w:p w14:paraId="679E8C37">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8</w:t>
            </w:r>
            <w:r>
              <w:rPr>
                <w:rFonts w:hint="eastAsia" w:ascii="Times New Roman" w:hAnsi="Times New Roman" w:cs="Times New Roman"/>
              </w:rPr>
              <w:t>.2 原位芯片采用独创MEMS加工工艺，SEM视窗: 标配20nm 氮化硅薄膜</w:t>
            </w:r>
          </w:p>
          <w:p w14:paraId="6ECCC3CD">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8</w:t>
            </w:r>
            <w:r>
              <w:rPr>
                <w:rFonts w:hint="eastAsia" w:ascii="Times New Roman" w:hAnsi="Times New Roman" w:cs="Times New Roman"/>
              </w:rPr>
              <w:t>.3旋转角:±180°，使用中平台仍可自由旋转，便于样品感兴趣区域观察；</w:t>
            </w:r>
          </w:p>
          <w:p w14:paraId="7F20C580">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lang w:val="en-US" w:eastAsia="zh-CN"/>
              </w:rPr>
              <w:t>8</w:t>
            </w:r>
            <w:r>
              <w:rPr>
                <w:rFonts w:hint="eastAsia" w:ascii="Times New Roman" w:hAnsi="Times New Roman" w:cs="Times New Roman"/>
              </w:rPr>
              <w:t>.</w:t>
            </w:r>
            <w:r>
              <w:rPr>
                <w:rFonts w:hint="eastAsia" w:ascii="Times New Roman" w:hAnsi="Times New Roman" w:cs="Times New Roman"/>
                <w:lang w:val="en-US" w:eastAsia="zh-CN"/>
              </w:rPr>
              <w:t>4</w:t>
            </w:r>
            <w:r>
              <w:rPr>
                <w:rFonts w:hint="eastAsia" w:ascii="Times New Roman" w:hAnsi="Times New Roman" w:cs="Times New Roman"/>
              </w:rPr>
              <w:t xml:space="preserve"> 芯片封装采用键合内封以及高分子无影胶外封双保险形式，操作安全便利且对扫描电镜舱室无污染；</w:t>
            </w:r>
          </w:p>
          <w:p w14:paraId="59E2DDBF">
            <w:pPr>
              <w:numPr>
                <w:ilvl w:val="1"/>
                <w:numId w:val="0"/>
              </w:numPr>
              <w:tabs>
                <w:tab w:val="left" w:pos="360"/>
                <w:tab w:val="left" w:pos="420"/>
              </w:tabs>
              <w:snapToGrid w:val="0"/>
              <w:spacing w:line="288" w:lineRule="auto"/>
              <w:ind w:left="420" w:leftChars="200"/>
              <w:rPr>
                <w:rFonts w:hint="eastAsia" w:ascii="Times New Roman" w:hAnsi="Times New Roman" w:cs="Times New Roman"/>
              </w:rPr>
            </w:pPr>
            <w:r>
              <w:rPr>
                <w:rFonts w:hint="eastAsia" w:ascii="Times New Roman" w:hAnsi="Times New Roman" w:cs="Times New Roman"/>
                <w:lang w:val="en-US" w:eastAsia="zh-CN"/>
              </w:rPr>
              <w:t>8</w:t>
            </w:r>
            <w:r>
              <w:rPr>
                <w:rFonts w:hint="eastAsia" w:ascii="Times New Roman" w:hAnsi="Times New Roman" w:cs="Times New Roman"/>
              </w:rPr>
              <w:t>.</w:t>
            </w:r>
            <w:r>
              <w:rPr>
                <w:rFonts w:hint="eastAsia" w:ascii="Times New Roman" w:hAnsi="Times New Roman" w:cs="Times New Roman"/>
                <w:lang w:val="en-US" w:eastAsia="zh-CN"/>
              </w:rPr>
              <w:t>5</w:t>
            </w:r>
            <w:r>
              <w:rPr>
                <w:rFonts w:hint="eastAsia" w:ascii="Times New Roman" w:hAnsi="Times New Roman" w:cs="Times New Roman"/>
              </w:rPr>
              <w:t>电流范围为pA-A级，可适配各类电化学工作站，</w:t>
            </w:r>
            <w:r>
              <w:rPr>
                <w:rFonts w:hint="eastAsia" w:ascii="Times New Roman" w:hAnsi="Times New Roman" w:cs="Times New Roman"/>
                <w:lang w:val="en-US" w:eastAsia="zh-CN"/>
              </w:rPr>
              <w:t>最低检测电流1pA</w:t>
            </w:r>
            <w:r>
              <w:rPr>
                <w:rFonts w:hint="eastAsia" w:ascii="Times New Roman" w:hAnsi="Times New Roman" w:cs="Times New Roman"/>
              </w:rPr>
              <w:t>；</w:t>
            </w:r>
          </w:p>
          <w:p w14:paraId="34122FEA">
            <w:pPr>
              <w:numPr>
                <w:ilvl w:val="1"/>
                <w:numId w:val="0"/>
              </w:numPr>
              <w:tabs>
                <w:tab w:val="left" w:pos="360"/>
                <w:tab w:val="left" w:pos="420"/>
              </w:tabs>
              <w:snapToGrid w:val="0"/>
              <w:spacing w:line="288" w:lineRule="auto"/>
              <w:ind w:left="420" w:leftChars="200"/>
              <w:rPr>
                <w:rFonts w:hint="eastAsia" w:ascii="Times New Roman" w:hAnsi="Times New Roman" w:cs="Times New Roman"/>
                <w:lang w:eastAsia="zh-CN"/>
              </w:rPr>
            </w:pPr>
            <w:r>
              <w:rPr>
                <w:rFonts w:hint="eastAsia" w:ascii="Times New Roman" w:hAnsi="Times New Roman" w:cs="Times New Roman"/>
                <w:lang w:val="en-US" w:eastAsia="zh-CN"/>
              </w:rPr>
              <w:t>8</w:t>
            </w:r>
            <w:r>
              <w:rPr>
                <w:rFonts w:hint="eastAsia" w:ascii="Times New Roman" w:hAnsi="Times New Roman" w:cs="Times New Roman"/>
              </w:rPr>
              <w:t>.</w:t>
            </w:r>
            <w:r>
              <w:rPr>
                <w:rFonts w:hint="eastAsia" w:ascii="Times New Roman" w:hAnsi="Times New Roman" w:cs="Times New Roman"/>
                <w:lang w:val="en-US" w:eastAsia="zh-CN"/>
              </w:rPr>
              <w:t>6</w:t>
            </w:r>
            <w:r>
              <w:rPr>
                <w:rFonts w:hint="eastAsia" w:ascii="Times New Roman" w:hAnsi="Times New Roman" w:cs="Times New Roman"/>
              </w:rPr>
              <w:t>电压范围为±10V，可适配各类电化学工作站，样品台支持最高10V电压加载</w:t>
            </w:r>
            <w:r>
              <w:rPr>
                <w:rFonts w:hint="eastAsia" w:ascii="Times New Roman" w:hAnsi="Times New Roman" w:cs="Times New Roman"/>
                <w:lang w:eastAsia="zh-CN"/>
              </w:rPr>
              <w:t>。</w:t>
            </w:r>
          </w:p>
          <w:p w14:paraId="5C80124A">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p>
          <w:p w14:paraId="401ACF7F">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9喷金仪</w:t>
            </w:r>
          </w:p>
          <w:p w14:paraId="6E57334C">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9.1真空泵：干式螺杆真空泵；</w:t>
            </w:r>
          </w:p>
          <w:p w14:paraId="4CB85AA1">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9.2 抽速：≥8m3/h(130L/min)；</w:t>
            </w:r>
          </w:p>
          <w:p w14:paraId="29A62574">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9.3极限真空：＜1 Pa；</w:t>
            </w:r>
          </w:p>
          <w:p w14:paraId="38A764FC">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9.4工作气压：4-10 Pa，可恒压控制；</w:t>
            </w:r>
          </w:p>
          <w:p w14:paraId="5EA7EFBA">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9.5抽真空时间：＜2min；</w:t>
            </w:r>
          </w:p>
          <w:p w14:paraId="69152F2F">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9.6真空计：皮拉尼真空计；</w:t>
            </w:r>
          </w:p>
          <w:p w14:paraId="64761E64">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9.7腔体：~Ø 135 *120 mm；</w:t>
            </w:r>
          </w:p>
          <w:p w14:paraId="237C86A2">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9.8 数显样品台：Ø75mm可偏转数显行星样品台，旋转转速：10-60RPM可调，偏转角度：0- 40度可调，靶基距45-60mm可调；</w:t>
            </w:r>
          </w:p>
          <w:p w14:paraId="7DC1D6B5">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9.9溅射靶材：靶材尺寸 Ø 30 * 0.5mm/2只，可实现单靶溅射、双靶共溅射、双靶交替；</w:t>
            </w:r>
          </w:p>
          <w:p w14:paraId="2E2AB19D">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9.10溅射电源：恒功率磁控DC溅射电源 Max. 20W ，Max. 100 mA，0-800 V DC；</w:t>
            </w:r>
          </w:p>
          <w:p w14:paraId="4487E00A">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9.11操作方式：触摸屏控制，控制系统提供互锁保护功能。</w:t>
            </w:r>
          </w:p>
          <w:p w14:paraId="4DDEE0A3">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p>
          <w:p w14:paraId="3B53BB9B">
            <w:pPr>
              <w:widowControl/>
              <w:numPr>
                <w:ilvl w:val="0"/>
                <w:numId w:val="0"/>
              </w:numPr>
              <w:tabs>
                <w:tab w:val="left" w:pos="420"/>
              </w:tabs>
              <w:snapToGrid w:val="0"/>
              <w:spacing w:line="288" w:lineRule="auto"/>
              <w:ind w:leftChars="0"/>
              <w:rPr>
                <w:rFonts w:hint="eastAsia" w:ascii="Times New Roman" w:hAnsi="Times New Roman" w:cs="Times New Roman"/>
                <w:b/>
                <w:lang w:val="en-US" w:eastAsia="zh-CN"/>
              </w:rPr>
            </w:pPr>
            <w:r>
              <w:rPr>
                <w:rFonts w:hint="eastAsia" w:ascii="Times New Roman" w:hAnsi="Times New Roman" w:cs="Times New Roman"/>
                <w:b/>
                <w:lang w:val="en-US" w:eastAsia="zh-CN"/>
              </w:rPr>
              <w:t xml:space="preserve">10 其他配置 </w:t>
            </w:r>
          </w:p>
          <w:p w14:paraId="11084ABE">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10.1 配置闭路冷却循环水机；</w:t>
            </w:r>
          </w:p>
          <w:p w14:paraId="71998AD8">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10.2 配置无油空气压缩机；</w:t>
            </w:r>
          </w:p>
          <w:p w14:paraId="69A17F8E">
            <w:pPr>
              <w:numPr>
                <w:ilvl w:val="1"/>
                <w:numId w:val="0"/>
              </w:numPr>
              <w:tabs>
                <w:tab w:val="left" w:pos="360"/>
                <w:tab w:val="left" w:pos="420"/>
              </w:tabs>
              <w:snapToGrid w:val="0"/>
              <w:spacing w:line="288" w:lineRule="auto"/>
              <w:ind w:left="420" w:leftChars="200"/>
              <w:rPr>
                <w:rFonts w:hint="default" w:ascii="Times New Roman" w:hAnsi="Times New Roman" w:cs="Times New Roman"/>
                <w:lang w:val="en-US" w:eastAsia="zh-CN"/>
              </w:rPr>
            </w:pPr>
            <w:r>
              <w:rPr>
                <w:rFonts w:hint="eastAsia" w:ascii="Times New Roman" w:hAnsi="Times New Roman" w:cs="Times New Roman"/>
                <w:lang w:val="en-US" w:eastAsia="zh-CN"/>
              </w:rPr>
              <w:t>10.3 消磁器1套；</w:t>
            </w:r>
          </w:p>
          <w:p w14:paraId="33077DE7">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10.4  长期使用的消耗品（包括专用工具、碳/银两种导电胶、真空脂、九孔样品台、钉型样品台等）；</w:t>
            </w:r>
          </w:p>
          <w:p w14:paraId="37B20A5E">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10.5 备用场发射灯丝一根（更换时按需发货）；</w:t>
            </w:r>
          </w:p>
          <w:p w14:paraId="09F4B3B0">
            <w:pPr>
              <w:numPr>
                <w:ilvl w:val="1"/>
                <w:numId w:val="0"/>
              </w:numPr>
              <w:tabs>
                <w:tab w:val="left" w:pos="360"/>
                <w:tab w:val="left" w:pos="420"/>
              </w:tabs>
              <w:snapToGrid w:val="0"/>
              <w:spacing w:line="288" w:lineRule="auto"/>
              <w:ind w:left="420" w:leftChars="200"/>
              <w:rPr>
                <w:rFonts w:hint="eastAsia" w:ascii="Times New Roman" w:hAnsi="Times New Roman" w:cs="Times New Roman"/>
                <w:lang w:val="en-US" w:eastAsia="zh-CN"/>
              </w:rPr>
            </w:pPr>
            <w:r>
              <w:rPr>
                <w:rFonts w:hint="eastAsia" w:ascii="Times New Roman" w:hAnsi="Times New Roman" w:cs="Times New Roman"/>
                <w:lang w:val="en-US" w:eastAsia="zh-CN"/>
              </w:rPr>
              <w:t>10.6 不间断电源 UPS 1套 (不少于4小时)。</w:t>
            </w:r>
          </w:p>
          <w:p w14:paraId="12C0005B">
            <w:pPr>
              <w:snapToGrid w:val="0"/>
              <w:spacing w:line="360" w:lineRule="auto"/>
              <w:jc w:val="left"/>
              <w:rPr>
                <w:rFonts w:ascii="宋体"/>
                <w:sz w:val="24"/>
                <w:szCs w:val="24"/>
              </w:rPr>
            </w:pPr>
          </w:p>
        </w:tc>
        <w:tc>
          <w:tcPr>
            <w:tcW w:w="707" w:type="dxa"/>
            <w:tcBorders>
              <w:top w:val="single" w:color="auto" w:sz="4" w:space="0"/>
              <w:left w:val="single" w:color="auto" w:sz="4" w:space="0"/>
              <w:bottom w:val="single" w:color="auto" w:sz="4" w:space="0"/>
              <w:right w:val="single" w:color="auto" w:sz="4" w:space="0"/>
            </w:tcBorders>
            <w:vAlign w:val="center"/>
          </w:tcPr>
          <w:p w14:paraId="72056E58">
            <w:pPr>
              <w:spacing w:line="360" w:lineRule="auto"/>
              <w:jc w:val="center"/>
              <w:rPr>
                <w:rFonts w:ascii="宋体" w:hAnsi="宋体" w:cs="宋体"/>
                <w:color w:val="000000"/>
                <w:sz w:val="24"/>
              </w:rPr>
            </w:pPr>
            <w:r>
              <w:rPr>
                <w:rFonts w:hint="eastAsia" w:ascii="宋体" w:hAnsi="宋体" w:cs="宋体"/>
                <w:color w:val="000000"/>
                <w:sz w:val="24"/>
              </w:rPr>
              <w:t>1</w:t>
            </w:r>
          </w:p>
        </w:tc>
        <w:tc>
          <w:tcPr>
            <w:tcW w:w="707" w:type="dxa"/>
            <w:tcBorders>
              <w:top w:val="single" w:color="auto" w:sz="4" w:space="0"/>
              <w:left w:val="single" w:color="auto" w:sz="4" w:space="0"/>
              <w:bottom w:val="single" w:color="auto" w:sz="4" w:space="0"/>
              <w:right w:val="single" w:color="auto" w:sz="4" w:space="0"/>
            </w:tcBorders>
            <w:vAlign w:val="center"/>
          </w:tcPr>
          <w:p w14:paraId="55671DA1">
            <w:pPr>
              <w:spacing w:line="360" w:lineRule="auto"/>
              <w:ind w:firstLine="120" w:firstLineChars="50"/>
              <w:rPr>
                <w:rFonts w:ascii="宋体" w:hAnsi="宋体" w:cs="宋体"/>
                <w:color w:val="000000"/>
                <w:sz w:val="24"/>
              </w:rPr>
            </w:pPr>
            <w:r>
              <w:rPr>
                <w:rFonts w:hint="eastAsia" w:ascii="宋体" w:hAnsi="宋体" w:cs="宋体"/>
                <w:color w:val="000000"/>
                <w:sz w:val="24"/>
              </w:rPr>
              <w:t>套</w:t>
            </w:r>
          </w:p>
        </w:tc>
      </w:tr>
    </w:tbl>
    <w:p w14:paraId="6A61A1D0">
      <w:pPr>
        <w:spacing w:line="360" w:lineRule="auto"/>
        <w:rPr>
          <w:rFonts w:asciiTheme="minorEastAsia" w:hAnsiTheme="minorEastAsia"/>
          <w:sz w:val="24"/>
          <w:szCs w:val="24"/>
        </w:rPr>
      </w:pPr>
    </w:p>
    <w:p w14:paraId="3E89AA90">
      <w:pPr>
        <w:spacing w:line="360" w:lineRule="auto"/>
        <w:outlineLvl w:val="1"/>
        <w:rPr>
          <w:rFonts w:asciiTheme="minorEastAsia" w:hAnsiTheme="minorEastAsia"/>
          <w:b/>
          <w:sz w:val="24"/>
          <w:szCs w:val="24"/>
        </w:rPr>
      </w:pPr>
      <w:r>
        <w:rPr>
          <w:rFonts w:hint="eastAsia" w:asciiTheme="minorEastAsia" w:hAnsiTheme="minorEastAsia"/>
          <w:b/>
          <w:sz w:val="24"/>
          <w:szCs w:val="24"/>
        </w:rPr>
        <w:t>四、合同交货条款（参考）</w:t>
      </w:r>
    </w:p>
    <w:p w14:paraId="426135C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1.交货时间：合同生效</w:t>
      </w:r>
      <w:r>
        <w:rPr>
          <w:rFonts w:hint="eastAsia" w:ascii="宋体"/>
          <w:sz w:val="24"/>
        </w:rPr>
        <w:t>_</w:t>
      </w:r>
      <w:r>
        <w:rPr>
          <w:rFonts w:ascii="宋体"/>
          <w:sz w:val="24"/>
          <w:u w:val="single"/>
        </w:rPr>
        <w:t>_</w:t>
      </w:r>
      <w:r>
        <w:rPr>
          <w:rFonts w:hint="eastAsia" w:ascii="宋体"/>
          <w:sz w:val="24"/>
          <w:u w:val="single"/>
          <w:lang w:val="en-US" w:eastAsia="zh-CN"/>
        </w:rPr>
        <w:t>270</w:t>
      </w:r>
      <w:r>
        <w:rPr>
          <w:rFonts w:ascii="宋体"/>
          <w:color w:val="FF0000"/>
          <w:sz w:val="24"/>
        </w:rPr>
        <w:t>_</w:t>
      </w:r>
      <w:r>
        <w:rPr>
          <w:rFonts w:ascii="宋体"/>
          <w:sz w:val="24"/>
        </w:rPr>
        <w:t>_</w:t>
      </w:r>
      <w:r>
        <w:rPr>
          <w:rFonts w:hint="eastAsia" w:asciiTheme="minorEastAsia" w:hAnsiTheme="minorEastAsia"/>
          <w:sz w:val="24"/>
          <w:szCs w:val="24"/>
        </w:rPr>
        <w:t>天内乙方完成货物安装调试并交付使用。</w:t>
      </w:r>
    </w:p>
    <w:p w14:paraId="2658B024">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2.交货地点：甲方</w:t>
      </w:r>
      <w:r>
        <w:rPr>
          <w:rFonts w:hint="eastAsia" w:ascii="宋体"/>
          <w:b/>
          <w:sz w:val="24"/>
        </w:rPr>
        <w:t>_</w:t>
      </w:r>
      <w:r>
        <w:rPr>
          <w:rFonts w:hint="eastAsia" w:ascii="宋体"/>
          <w:sz w:val="24"/>
          <w:u w:val="single"/>
        </w:rPr>
        <w:t>大学城</w:t>
      </w:r>
      <w:r>
        <w:rPr>
          <w:rFonts w:ascii="宋体"/>
          <w:sz w:val="24"/>
        </w:rPr>
        <w:t>_</w:t>
      </w:r>
      <w:r>
        <w:rPr>
          <w:rFonts w:hint="eastAsia" w:asciiTheme="minorEastAsia" w:hAnsiTheme="minorEastAsia"/>
          <w:sz w:val="24"/>
          <w:szCs w:val="24"/>
        </w:rPr>
        <w:t>校区</w:t>
      </w:r>
      <w:r>
        <w:rPr>
          <w:rFonts w:hint="eastAsia" w:ascii="宋体"/>
          <w:b/>
          <w:sz w:val="24"/>
        </w:rPr>
        <w:t>_</w:t>
      </w:r>
      <w:r>
        <w:rPr>
          <w:rFonts w:hint="eastAsia" w:ascii="宋体"/>
          <w:sz w:val="24"/>
          <w:u w:val="single"/>
        </w:rPr>
        <w:t>分析测试中心</w:t>
      </w:r>
      <w:r>
        <w:rPr>
          <w:rFonts w:ascii="宋体"/>
          <w:b/>
          <w:sz w:val="24"/>
          <w:u w:val="single"/>
        </w:rPr>
        <w:t>_</w:t>
      </w:r>
      <w:r>
        <w:rPr>
          <w:rFonts w:hint="eastAsia" w:asciiTheme="minorEastAsia" w:hAnsiTheme="minorEastAsia"/>
          <w:sz w:val="24"/>
          <w:szCs w:val="24"/>
        </w:rPr>
        <w:t>学院指定地点。</w:t>
      </w:r>
    </w:p>
    <w:p w14:paraId="336A2C4C">
      <w:pPr>
        <w:spacing w:line="360" w:lineRule="auto"/>
        <w:rPr>
          <w:rFonts w:asciiTheme="minorEastAsia" w:hAnsiTheme="minorEastAsia"/>
          <w:sz w:val="24"/>
          <w:szCs w:val="24"/>
        </w:rPr>
      </w:pPr>
    </w:p>
    <w:p w14:paraId="0B322393">
      <w:pPr>
        <w:spacing w:line="360" w:lineRule="auto"/>
        <w:outlineLvl w:val="1"/>
        <w:rPr>
          <w:rFonts w:asciiTheme="minorEastAsia" w:hAnsiTheme="minorEastAsia"/>
          <w:b/>
          <w:sz w:val="24"/>
          <w:szCs w:val="24"/>
        </w:rPr>
      </w:pPr>
      <w:r>
        <w:rPr>
          <w:rFonts w:hint="eastAsia" w:asciiTheme="minorEastAsia" w:hAnsiTheme="minorEastAsia"/>
          <w:b/>
          <w:sz w:val="24"/>
          <w:szCs w:val="24"/>
        </w:rPr>
        <w:t>五、合同验收条款（参考）</w:t>
      </w:r>
    </w:p>
    <w:p w14:paraId="1D8B6837">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交付验收标准为：按本合同约定的货物及价格、详细配置清单及技术指标、符合采购文件和响应承诺中甲方认可的合理最佳配置、参数及各项要求、国家相关标准和行业规范进行验收（该等标准不一致的，以较高为准）。</w:t>
      </w:r>
    </w:p>
    <w:p w14:paraId="0829C719">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2.验收流程按甲方规章制度执行，由甲方组成验收小组（含乙方人员）按国家有关规定、规范进行验收，必要时甲方可邀请相关的专业人员或机构参与验收。</w:t>
      </w:r>
    </w:p>
    <w:p w14:paraId="45C7B7A3">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3.货物安装调试完毕且正常运行后，乙方应向甲方提出书面验收申请，准备并向甲方提交验收文件，本合同项下的全部货物按甲方验收流程验收通过，经甲乙双方签署验收合格证明后，视为验收合格。</w:t>
      </w:r>
    </w:p>
    <w:p w14:paraId="19DCD2D7">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4.验收合格后，乙方应将货物的用户手册、保修手册、有关单证资料及配备件、随机工具等交付给甲方，使用操作及安全须知等重要资料应附有中文说明。前述资料物品交付完毕当日，视为合同货物完成交付。</w:t>
      </w:r>
    </w:p>
    <w:p w14:paraId="479147CA">
      <w:pPr>
        <w:spacing w:line="360" w:lineRule="auto"/>
        <w:rPr>
          <w:rFonts w:asciiTheme="minorEastAsia" w:hAnsiTheme="minorEastAsia"/>
          <w:sz w:val="24"/>
          <w:szCs w:val="24"/>
        </w:rPr>
      </w:pPr>
    </w:p>
    <w:p w14:paraId="2B7BE760">
      <w:pPr>
        <w:spacing w:line="360" w:lineRule="auto"/>
        <w:outlineLvl w:val="1"/>
        <w:rPr>
          <w:rFonts w:asciiTheme="minorEastAsia" w:hAnsiTheme="minorEastAsia"/>
          <w:b/>
          <w:sz w:val="24"/>
          <w:szCs w:val="24"/>
        </w:rPr>
      </w:pPr>
      <w:r>
        <w:rPr>
          <w:rFonts w:hint="eastAsia" w:asciiTheme="minorEastAsia" w:hAnsiTheme="minorEastAsia"/>
          <w:b/>
          <w:sz w:val="24"/>
          <w:szCs w:val="24"/>
        </w:rPr>
        <w:t>六、合同保修条款（参考）</w:t>
      </w:r>
    </w:p>
    <w:p w14:paraId="4B68234B">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所有货物保修期为</w:t>
      </w:r>
      <w:r>
        <w:rPr>
          <w:rFonts w:hint="eastAsia" w:ascii="宋体"/>
          <w:b/>
          <w:sz w:val="24"/>
        </w:rPr>
        <w:t>_</w:t>
      </w:r>
      <w:r>
        <w:rPr>
          <w:rFonts w:ascii="宋体"/>
          <w:sz w:val="24"/>
          <w:u w:val="single"/>
        </w:rPr>
        <w:t>___</w:t>
      </w:r>
      <w:r>
        <w:rPr>
          <w:rFonts w:hint="eastAsia" w:ascii="宋体"/>
          <w:sz w:val="24"/>
          <w:u w:val="single"/>
        </w:rPr>
        <w:t>3</w:t>
      </w:r>
      <w:r>
        <w:rPr>
          <w:rFonts w:ascii="宋体"/>
          <w:sz w:val="24"/>
          <w:u w:val="single"/>
        </w:rPr>
        <w:t>_</w:t>
      </w:r>
      <w:r>
        <w:rPr>
          <w:rFonts w:ascii="宋体"/>
          <w:b/>
          <w:sz w:val="24"/>
        </w:rPr>
        <w:t>___</w:t>
      </w:r>
      <w:r>
        <w:rPr>
          <w:rFonts w:hint="eastAsia" w:asciiTheme="minorEastAsia" w:hAnsiTheme="minorEastAsia"/>
          <w:sz w:val="24"/>
          <w:szCs w:val="24"/>
        </w:rPr>
        <w:t>年，乙方提供免费</w:t>
      </w:r>
      <w:r>
        <w:rPr>
          <w:rFonts w:hint="eastAsia" w:ascii="宋体"/>
          <w:b/>
          <w:sz w:val="24"/>
        </w:rPr>
        <w:t>_</w:t>
      </w:r>
      <w:r>
        <w:rPr>
          <w:rFonts w:ascii="宋体"/>
          <w:b/>
          <w:sz w:val="24"/>
        </w:rPr>
        <w:t>_</w:t>
      </w:r>
      <w:r>
        <w:rPr>
          <w:rFonts w:ascii="宋体"/>
          <w:sz w:val="24"/>
          <w:u w:val="single"/>
        </w:rPr>
        <w:t>_</w:t>
      </w:r>
      <w:r>
        <w:rPr>
          <w:rFonts w:hint="eastAsia" w:ascii="宋体"/>
          <w:sz w:val="24"/>
          <w:u w:val="single"/>
        </w:rPr>
        <w:t>3</w:t>
      </w:r>
      <w:r>
        <w:rPr>
          <w:rFonts w:ascii="宋体"/>
          <w:sz w:val="24"/>
          <w:u w:val="single"/>
        </w:rPr>
        <w:t>_</w:t>
      </w:r>
      <w:r>
        <w:rPr>
          <w:rFonts w:ascii="宋体"/>
          <w:b/>
          <w:sz w:val="24"/>
        </w:rPr>
        <w:t>_</w:t>
      </w:r>
      <w:r>
        <w:rPr>
          <w:rFonts w:hint="eastAsia" w:asciiTheme="minorEastAsia" w:hAnsiTheme="minorEastAsia"/>
          <w:sz w:val="24"/>
          <w:szCs w:val="24"/>
        </w:rPr>
        <w:t>年上门保修服务和系统维护，乙方不再收取任何费用，保修期自甲乙双方代表在货物安装调试后的验收证明文件上签字之日起计算。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经典细隶书繁">
    <w:altName w:val="宋体"/>
    <w:panose1 w:val="00000000000000000000"/>
    <w:charset w:val="86"/>
    <w:family w:val="modern"/>
    <w:pitch w:val="default"/>
    <w:sig w:usb0="00000000" w:usb1="00000000" w:usb2="0000001E"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9A1"/>
    <w:rsid w:val="00001DE0"/>
    <w:rsid w:val="00004859"/>
    <w:rsid w:val="0002035E"/>
    <w:rsid w:val="00025FF4"/>
    <w:rsid w:val="0003520C"/>
    <w:rsid w:val="000454CA"/>
    <w:rsid w:val="00061B7E"/>
    <w:rsid w:val="000823C4"/>
    <w:rsid w:val="00085772"/>
    <w:rsid w:val="000B359A"/>
    <w:rsid w:val="000B4233"/>
    <w:rsid w:val="000B7A3F"/>
    <w:rsid w:val="000C3034"/>
    <w:rsid w:val="000D304F"/>
    <w:rsid w:val="000E5B71"/>
    <w:rsid w:val="000F0D7E"/>
    <w:rsid w:val="000F3784"/>
    <w:rsid w:val="000F5D27"/>
    <w:rsid w:val="000F6034"/>
    <w:rsid w:val="00111707"/>
    <w:rsid w:val="0011431B"/>
    <w:rsid w:val="00115E58"/>
    <w:rsid w:val="00123B97"/>
    <w:rsid w:val="0012606B"/>
    <w:rsid w:val="001368FA"/>
    <w:rsid w:val="0014244E"/>
    <w:rsid w:val="001449FE"/>
    <w:rsid w:val="001511EC"/>
    <w:rsid w:val="00156813"/>
    <w:rsid w:val="00165F43"/>
    <w:rsid w:val="00170E7F"/>
    <w:rsid w:val="001861B0"/>
    <w:rsid w:val="00191F8E"/>
    <w:rsid w:val="00197B85"/>
    <w:rsid w:val="001B67AD"/>
    <w:rsid w:val="001C17BC"/>
    <w:rsid w:val="001C5F60"/>
    <w:rsid w:val="00200596"/>
    <w:rsid w:val="00204113"/>
    <w:rsid w:val="00205C03"/>
    <w:rsid w:val="00216FA6"/>
    <w:rsid w:val="002234A4"/>
    <w:rsid w:val="00224DB2"/>
    <w:rsid w:val="00234D62"/>
    <w:rsid w:val="00263B71"/>
    <w:rsid w:val="00277330"/>
    <w:rsid w:val="00280B4C"/>
    <w:rsid w:val="00284909"/>
    <w:rsid w:val="00287C94"/>
    <w:rsid w:val="00297294"/>
    <w:rsid w:val="002A3787"/>
    <w:rsid w:val="002A68AC"/>
    <w:rsid w:val="002C2793"/>
    <w:rsid w:val="002C35C3"/>
    <w:rsid w:val="002D7BEB"/>
    <w:rsid w:val="002E683B"/>
    <w:rsid w:val="002F7602"/>
    <w:rsid w:val="00300742"/>
    <w:rsid w:val="00310E75"/>
    <w:rsid w:val="0031685E"/>
    <w:rsid w:val="003250C7"/>
    <w:rsid w:val="003573E8"/>
    <w:rsid w:val="00360C4E"/>
    <w:rsid w:val="00363231"/>
    <w:rsid w:val="00366CE0"/>
    <w:rsid w:val="003725D3"/>
    <w:rsid w:val="003835C9"/>
    <w:rsid w:val="00385EF9"/>
    <w:rsid w:val="003B48CC"/>
    <w:rsid w:val="003C5E09"/>
    <w:rsid w:val="003E24CD"/>
    <w:rsid w:val="0042073E"/>
    <w:rsid w:val="0044497E"/>
    <w:rsid w:val="00445B5F"/>
    <w:rsid w:val="00480807"/>
    <w:rsid w:val="004A3C03"/>
    <w:rsid w:val="004A5FE3"/>
    <w:rsid w:val="004B7C8B"/>
    <w:rsid w:val="004F3406"/>
    <w:rsid w:val="004F6A28"/>
    <w:rsid w:val="005209C2"/>
    <w:rsid w:val="00526923"/>
    <w:rsid w:val="00530B4D"/>
    <w:rsid w:val="0056224B"/>
    <w:rsid w:val="00570912"/>
    <w:rsid w:val="005938BC"/>
    <w:rsid w:val="00597091"/>
    <w:rsid w:val="005A49C0"/>
    <w:rsid w:val="005B34A7"/>
    <w:rsid w:val="005C2B19"/>
    <w:rsid w:val="005F0074"/>
    <w:rsid w:val="005F3D7F"/>
    <w:rsid w:val="005F502D"/>
    <w:rsid w:val="005F79D6"/>
    <w:rsid w:val="00605B98"/>
    <w:rsid w:val="006270B8"/>
    <w:rsid w:val="0064559D"/>
    <w:rsid w:val="00652D06"/>
    <w:rsid w:val="00665F56"/>
    <w:rsid w:val="00667031"/>
    <w:rsid w:val="00671067"/>
    <w:rsid w:val="006779DF"/>
    <w:rsid w:val="00680D7B"/>
    <w:rsid w:val="00693C09"/>
    <w:rsid w:val="006A5689"/>
    <w:rsid w:val="006B4FF3"/>
    <w:rsid w:val="006C32A8"/>
    <w:rsid w:val="006D16A3"/>
    <w:rsid w:val="006F7131"/>
    <w:rsid w:val="00731787"/>
    <w:rsid w:val="0073495C"/>
    <w:rsid w:val="00736FDC"/>
    <w:rsid w:val="007530D2"/>
    <w:rsid w:val="007649A1"/>
    <w:rsid w:val="0077682B"/>
    <w:rsid w:val="007868A8"/>
    <w:rsid w:val="007B4214"/>
    <w:rsid w:val="007B5EF2"/>
    <w:rsid w:val="007C5777"/>
    <w:rsid w:val="007D7236"/>
    <w:rsid w:val="00805C07"/>
    <w:rsid w:val="00806D88"/>
    <w:rsid w:val="00807CAB"/>
    <w:rsid w:val="00812DB6"/>
    <w:rsid w:val="0082042E"/>
    <w:rsid w:val="00822E3B"/>
    <w:rsid w:val="008421B3"/>
    <w:rsid w:val="0084647C"/>
    <w:rsid w:val="00854547"/>
    <w:rsid w:val="0085681D"/>
    <w:rsid w:val="00860653"/>
    <w:rsid w:val="0087377B"/>
    <w:rsid w:val="00875D2A"/>
    <w:rsid w:val="008770E6"/>
    <w:rsid w:val="00883A77"/>
    <w:rsid w:val="00895BD3"/>
    <w:rsid w:val="008C705F"/>
    <w:rsid w:val="008E0993"/>
    <w:rsid w:val="008E566A"/>
    <w:rsid w:val="00900735"/>
    <w:rsid w:val="00901B9B"/>
    <w:rsid w:val="00910CAF"/>
    <w:rsid w:val="009247A4"/>
    <w:rsid w:val="009262D8"/>
    <w:rsid w:val="00927315"/>
    <w:rsid w:val="00933D60"/>
    <w:rsid w:val="00953EE6"/>
    <w:rsid w:val="00980AEC"/>
    <w:rsid w:val="00981ABE"/>
    <w:rsid w:val="0099547C"/>
    <w:rsid w:val="009972D8"/>
    <w:rsid w:val="009C697B"/>
    <w:rsid w:val="009F001E"/>
    <w:rsid w:val="00A2491E"/>
    <w:rsid w:val="00A33E72"/>
    <w:rsid w:val="00A5051F"/>
    <w:rsid w:val="00A6663F"/>
    <w:rsid w:val="00A672B0"/>
    <w:rsid w:val="00A7165B"/>
    <w:rsid w:val="00A746B2"/>
    <w:rsid w:val="00A828B0"/>
    <w:rsid w:val="00AB1FD2"/>
    <w:rsid w:val="00AB6C40"/>
    <w:rsid w:val="00AB6E9F"/>
    <w:rsid w:val="00AD4FC0"/>
    <w:rsid w:val="00AF6894"/>
    <w:rsid w:val="00B02F66"/>
    <w:rsid w:val="00B057A6"/>
    <w:rsid w:val="00B074E0"/>
    <w:rsid w:val="00B07F19"/>
    <w:rsid w:val="00B16812"/>
    <w:rsid w:val="00B36EC4"/>
    <w:rsid w:val="00B5239E"/>
    <w:rsid w:val="00B62EAB"/>
    <w:rsid w:val="00B65BD8"/>
    <w:rsid w:val="00B6777F"/>
    <w:rsid w:val="00B82EF5"/>
    <w:rsid w:val="00B85D7F"/>
    <w:rsid w:val="00B85F18"/>
    <w:rsid w:val="00BA1B5D"/>
    <w:rsid w:val="00BA26E9"/>
    <w:rsid w:val="00BB5461"/>
    <w:rsid w:val="00BD641A"/>
    <w:rsid w:val="00BF0C92"/>
    <w:rsid w:val="00C057D5"/>
    <w:rsid w:val="00C066A1"/>
    <w:rsid w:val="00C11A8E"/>
    <w:rsid w:val="00C160BC"/>
    <w:rsid w:val="00C26FFA"/>
    <w:rsid w:val="00C303F5"/>
    <w:rsid w:val="00C30A21"/>
    <w:rsid w:val="00C347B8"/>
    <w:rsid w:val="00C4060F"/>
    <w:rsid w:val="00C54D58"/>
    <w:rsid w:val="00C624C9"/>
    <w:rsid w:val="00C7222A"/>
    <w:rsid w:val="00C7595F"/>
    <w:rsid w:val="00C76EBB"/>
    <w:rsid w:val="00C826E1"/>
    <w:rsid w:val="00C835F1"/>
    <w:rsid w:val="00CB2170"/>
    <w:rsid w:val="00CD01BE"/>
    <w:rsid w:val="00CD5007"/>
    <w:rsid w:val="00CD7616"/>
    <w:rsid w:val="00D1039B"/>
    <w:rsid w:val="00D13832"/>
    <w:rsid w:val="00D24EA9"/>
    <w:rsid w:val="00D2566B"/>
    <w:rsid w:val="00D25A5C"/>
    <w:rsid w:val="00D31837"/>
    <w:rsid w:val="00D6625E"/>
    <w:rsid w:val="00D66E85"/>
    <w:rsid w:val="00D714CD"/>
    <w:rsid w:val="00D75C7C"/>
    <w:rsid w:val="00D80D94"/>
    <w:rsid w:val="00D964FF"/>
    <w:rsid w:val="00DA3825"/>
    <w:rsid w:val="00DB5D0C"/>
    <w:rsid w:val="00DC42BA"/>
    <w:rsid w:val="00DC5563"/>
    <w:rsid w:val="00DD282D"/>
    <w:rsid w:val="00DD2FB1"/>
    <w:rsid w:val="00E00902"/>
    <w:rsid w:val="00E01651"/>
    <w:rsid w:val="00E15550"/>
    <w:rsid w:val="00E15648"/>
    <w:rsid w:val="00E20A38"/>
    <w:rsid w:val="00E306AA"/>
    <w:rsid w:val="00E447B1"/>
    <w:rsid w:val="00E51013"/>
    <w:rsid w:val="00E60985"/>
    <w:rsid w:val="00E70446"/>
    <w:rsid w:val="00E756A5"/>
    <w:rsid w:val="00E77A5A"/>
    <w:rsid w:val="00E80A5B"/>
    <w:rsid w:val="00EB6FE7"/>
    <w:rsid w:val="00EC1FC0"/>
    <w:rsid w:val="00EC7A55"/>
    <w:rsid w:val="00ED3A68"/>
    <w:rsid w:val="00EF286B"/>
    <w:rsid w:val="00F373A4"/>
    <w:rsid w:val="00F3779A"/>
    <w:rsid w:val="00F37D8F"/>
    <w:rsid w:val="00F4578D"/>
    <w:rsid w:val="00F5021B"/>
    <w:rsid w:val="00F52196"/>
    <w:rsid w:val="00F63076"/>
    <w:rsid w:val="00F7072E"/>
    <w:rsid w:val="00F73BE1"/>
    <w:rsid w:val="00F83D87"/>
    <w:rsid w:val="00FB429D"/>
    <w:rsid w:val="00FD2ACE"/>
    <w:rsid w:val="22940380"/>
    <w:rsid w:val="33535743"/>
    <w:rsid w:val="39D73DB0"/>
    <w:rsid w:val="48A44149"/>
    <w:rsid w:val="635A451C"/>
    <w:rsid w:val="63A27808"/>
    <w:rsid w:val="72D2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semiHidden/>
    <w:qFormat/>
    <w:uiPriority w:val="99"/>
  </w:style>
  <w:style w:type="character" w:customStyle="1" w:styleId="14">
    <w:name w:val="批注主题 Char"/>
    <w:basedOn w:val="13"/>
    <w:link w:val="6"/>
    <w:semiHidden/>
    <w:qFormat/>
    <w:uiPriority w:val="99"/>
    <w:rPr>
      <w:b/>
      <w:bCs/>
    </w:rPr>
  </w:style>
  <w:style w:type="character" w:customStyle="1" w:styleId="15">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3693B-D3F9-464B-B221-D72C1D70C69B}">
  <ds:schemaRefs/>
</ds:datastoreItem>
</file>

<file path=docProps/app.xml><?xml version="1.0" encoding="utf-8"?>
<Properties xmlns="http://schemas.openxmlformats.org/officeDocument/2006/extended-properties" xmlns:vt="http://schemas.openxmlformats.org/officeDocument/2006/docPropsVTypes">
  <Template>Normal</Template>
  <Company>GDUT</Company>
  <Pages>7</Pages>
  <Words>3904</Words>
  <Characters>4410</Characters>
  <Lines>76</Lines>
  <Paragraphs>21</Paragraphs>
  <TotalTime>11</TotalTime>
  <ScaleCrop>false</ScaleCrop>
  <LinksUpToDate>false</LinksUpToDate>
  <CharactersWithSpaces>4558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2022-11-02T07:06:00Z</dcterms:created>
  <dc:creator>BIRL</dc:creator>
  <cp:lastModifiedBy>卫孟</cp:lastModifiedBy>
  <dcterms:modified xsi:type="dcterms:W3CDTF">2025-04-01T06:37:43Z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eyJoZGlkIjoiODFiYjhhZWI0YmQyNzA4ZmU0OWI4NTRhNmZjYzY5NTAiLCJ1c2VySWQiOiI2OTI4NDA5ODYifQ==</vt:lpwstr>
  </property>
  <property fmtid="{D5CDD505-2E9C-101B-9397-08002B2CF9AE}" pid="3" name="KSOProductBuildVer">
    <vt:lpwstr>2052-12.1.0.20305</vt:lpwstr>
  </property>
  <property fmtid="{D5CDD505-2E9C-101B-9397-08002B2CF9AE}" pid="4" name="ICV">
    <vt:lpwstr>F13AF1010C3648D7965D27EA80B0AA35_13</vt:lpwstr>
  </property>
</Properties>
</file>