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jc w:val="both"/>
        <w:rPr>
          <w:rFonts w:hint="eastAsia" w:asciiTheme="minorEastAsia" w:hAnsiTheme="minorEastAsia" w:eastAsiaTheme="minorEastAsia" w:cstheme="minorEastAsia"/>
          <w:b/>
          <w:bCs/>
          <w:sz w:val="24"/>
          <w:szCs w:val="24"/>
        </w:rPr>
      </w:pPr>
    </w:p>
    <w:p>
      <w:pPr>
        <w:pStyle w:val="18"/>
        <w:adjustRightInd w:val="0"/>
        <w:snapToGrid w:val="0"/>
        <w:spacing w:before="468" w:beforeLines="150" w:line="240" w:lineRule="auto"/>
        <w:jc w:val="center"/>
        <w:rPr>
          <w:rFonts w:hint="eastAsia" w:asciiTheme="minorEastAsia" w:hAnsiTheme="minorEastAsia" w:eastAsiaTheme="minorEastAsia" w:cstheme="minorEastAsia"/>
          <w:b/>
          <w:color w:val="auto"/>
          <w:sz w:val="52"/>
          <w:szCs w:val="52"/>
          <w:lang w:val="zh-TW"/>
        </w:rPr>
      </w:pPr>
      <w:r>
        <w:rPr>
          <w:rFonts w:hint="eastAsia" w:asciiTheme="minorEastAsia" w:hAnsiTheme="minorEastAsia" w:eastAsiaTheme="minorEastAsia" w:cstheme="minorEastAsia"/>
          <w:b/>
          <w:color w:val="auto"/>
          <w:sz w:val="52"/>
          <w:szCs w:val="52"/>
          <w:lang w:val="zh-TW"/>
        </w:rPr>
        <w:t>广州花都秀全湖周边片区整体策划</w:t>
      </w:r>
    </w:p>
    <w:p>
      <w:pPr>
        <w:pStyle w:val="18"/>
        <w:adjustRightInd w:val="0"/>
        <w:snapToGrid w:val="0"/>
        <w:spacing w:before="468" w:beforeLines="150" w:line="240" w:lineRule="auto"/>
        <w:jc w:val="center"/>
        <w:rPr>
          <w:rFonts w:hint="eastAsia" w:asciiTheme="minorEastAsia" w:hAnsiTheme="minorEastAsia" w:eastAsiaTheme="minorEastAsia" w:cstheme="minorEastAsia"/>
          <w:b/>
          <w:color w:val="auto"/>
          <w:sz w:val="52"/>
          <w:szCs w:val="52"/>
          <w:lang w:val="zh-TW"/>
        </w:rPr>
      </w:pPr>
      <w:r>
        <w:rPr>
          <w:rFonts w:hint="eastAsia" w:asciiTheme="minorEastAsia" w:hAnsiTheme="minorEastAsia" w:eastAsiaTheme="minorEastAsia" w:cstheme="minorEastAsia"/>
          <w:b/>
          <w:color w:val="auto"/>
          <w:sz w:val="52"/>
          <w:szCs w:val="52"/>
          <w:lang w:val="zh-TW" w:eastAsia="zh-CN"/>
        </w:rPr>
        <w:t>初步</w:t>
      </w:r>
      <w:r>
        <w:rPr>
          <w:rFonts w:hint="eastAsia" w:asciiTheme="minorEastAsia" w:hAnsiTheme="minorEastAsia" w:eastAsiaTheme="minorEastAsia" w:cstheme="minorEastAsia"/>
          <w:b/>
          <w:color w:val="auto"/>
          <w:sz w:val="52"/>
          <w:szCs w:val="52"/>
          <w:lang w:val="zh-TW"/>
        </w:rPr>
        <w:t>采购需求</w:t>
      </w:r>
    </w:p>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ind w:left="1084" w:hanging="1084"/>
        <w:jc w:val="center"/>
        <w:rPr>
          <w:rFonts w:hint="eastAsia" w:asciiTheme="minorEastAsia" w:hAnsiTheme="minorEastAsia" w:eastAsiaTheme="minorEastAsia" w:cstheme="minorEastAsia"/>
          <w:b/>
          <w:bCs/>
          <w:sz w:val="24"/>
          <w:szCs w:val="24"/>
        </w:rPr>
      </w:pPr>
    </w:p>
    <w:p>
      <w:pPr>
        <w:spacing w:line="240" w:lineRule="auto"/>
        <w:ind w:left="1084" w:hanging="1084"/>
        <w:rPr>
          <w:rFonts w:hint="eastAsia" w:asciiTheme="minorEastAsia" w:hAnsiTheme="minorEastAsia" w:eastAsiaTheme="minorEastAsia" w:cstheme="minorEastAsia"/>
          <w:b/>
          <w:bCs/>
          <w:sz w:val="24"/>
          <w:szCs w:val="24"/>
        </w:rPr>
      </w:pPr>
    </w:p>
    <w:p>
      <w:pPr>
        <w:spacing w:line="240" w:lineRule="auto"/>
        <w:ind w:left="1084" w:hanging="1084"/>
        <w:rPr>
          <w:rFonts w:hint="eastAsia" w:asciiTheme="minorEastAsia" w:hAnsiTheme="minorEastAsia" w:eastAsiaTheme="minorEastAsia" w:cstheme="minorEastAsia"/>
          <w:b/>
          <w:bCs/>
          <w:sz w:val="24"/>
          <w:szCs w:val="24"/>
        </w:rPr>
      </w:pPr>
    </w:p>
    <w:p>
      <w:pPr>
        <w:spacing w:line="240" w:lineRule="auto"/>
        <w:ind w:left="1084" w:hanging="1084"/>
        <w:rPr>
          <w:rFonts w:hint="eastAsia" w:asciiTheme="minorEastAsia" w:hAnsiTheme="minorEastAsia" w:eastAsiaTheme="minorEastAsia" w:cstheme="minorEastAsia"/>
          <w:b/>
          <w:bCs/>
          <w:sz w:val="24"/>
          <w:szCs w:val="24"/>
        </w:rPr>
      </w:pPr>
    </w:p>
    <w:p>
      <w:pPr>
        <w:spacing w:line="240" w:lineRule="auto"/>
        <w:ind w:left="1084" w:hanging="1084"/>
        <w:rPr>
          <w:rFonts w:hint="eastAsia" w:asciiTheme="minorEastAsia" w:hAnsiTheme="minorEastAsia" w:eastAsiaTheme="minorEastAsia" w:cstheme="minorEastAsia"/>
          <w:b/>
          <w:bCs/>
          <w:sz w:val="24"/>
          <w:szCs w:val="24"/>
        </w:rPr>
      </w:pPr>
    </w:p>
    <w:p>
      <w:pPr>
        <w:spacing w:line="240" w:lineRule="auto"/>
        <w:ind w:left="1084" w:hanging="1084"/>
        <w:rPr>
          <w:rFonts w:hint="eastAsia" w:asciiTheme="minorEastAsia" w:hAnsiTheme="minorEastAsia" w:eastAsiaTheme="minorEastAsia" w:cstheme="minorEastAsia"/>
          <w:b/>
          <w:bCs/>
          <w:sz w:val="24"/>
          <w:szCs w:val="24"/>
        </w:rPr>
      </w:pP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br w:type="page"/>
      </w:r>
    </w:p>
    <w:p>
      <w:pPr>
        <w:spacing w:line="240" w:lineRule="auto"/>
        <w:ind w:left="1084" w:hanging="1084"/>
        <w:rPr>
          <w:rFonts w:hint="eastAsia" w:asciiTheme="minorEastAsia" w:hAnsiTheme="minorEastAsia" w:eastAsiaTheme="minorEastAsia" w:cstheme="minorEastAsia"/>
          <w:b/>
          <w:bCs/>
          <w:sz w:val="24"/>
          <w:szCs w:val="24"/>
        </w:rPr>
      </w:pPr>
    </w:p>
    <w:p>
      <w:pPr>
        <w:spacing w:line="240" w:lineRule="auto"/>
        <w:ind w:left="1084" w:hanging="1084"/>
        <w:rPr>
          <w:rFonts w:hint="eastAsia" w:asciiTheme="minorEastAsia" w:hAnsiTheme="minorEastAsia" w:eastAsiaTheme="minorEastAsia" w:cstheme="minorEastAsia"/>
          <w:b/>
          <w:bCs/>
          <w:sz w:val="24"/>
          <w:szCs w:val="24"/>
        </w:rPr>
      </w:pPr>
    </w:p>
    <w:p>
      <w:pPr>
        <w:spacing w:line="240" w:lineRule="auto"/>
        <w:ind w:left="1084" w:hanging="1084"/>
        <w:rPr>
          <w:rFonts w:hint="eastAsia" w:asciiTheme="minorEastAsia" w:hAnsiTheme="minorEastAsia" w:eastAsiaTheme="minorEastAsia" w:cstheme="minorEastAsia"/>
          <w:b/>
          <w:bCs/>
          <w:sz w:val="24"/>
          <w:szCs w:val="24"/>
        </w:rPr>
      </w:pPr>
    </w:p>
    <w:p>
      <w:pPr>
        <w:spacing w:line="240" w:lineRule="auto"/>
        <w:ind w:left="1084" w:hanging="1084"/>
        <w:rPr>
          <w:rFonts w:hint="eastAsia" w:asciiTheme="minorEastAsia" w:hAnsiTheme="minorEastAsia" w:eastAsiaTheme="minorEastAsia" w:cstheme="minorEastAsia"/>
          <w:b/>
          <w:bCs/>
          <w:sz w:val="24"/>
          <w:szCs w:val="24"/>
        </w:rPr>
      </w:pPr>
    </w:p>
    <w:sdt>
      <w:sdtPr>
        <w:rPr>
          <w:rFonts w:hint="eastAsia" w:asciiTheme="minorEastAsia" w:hAnsiTheme="minorEastAsia" w:eastAsiaTheme="minorEastAsia" w:cstheme="minorEastAsia"/>
          <w:sz w:val="24"/>
          <w:szCs w:val="24"/>
          <w:lang w:val="zh-CN"/>
        </w:rPr>
        <w:id w:val="-1950698218"/>
        <w:docPartObj>
          <w:docPartGallery w:val="Table of Contents"/>
          <w:docPartUnique/>
        </w:docPartObj>
      </w:sdtPr>
      <w:sdtEndPr>
        <w:rPr>
          <w:rFonts w:hint="eastAsia" w:asciiTheme="minorEastAsia" w:hAnsiTheme="minorEastAsia" w:eastAsiaTheme="minorEastAsia" w:cstheme="minorEastAsia"/>
          <w:sz w:val="24"/>
          <w:szCs w:val="24"/>
          <w:lang w:val="zh-CN"/>
        </w:rPr>
      </w:sdtEndPr>
      <w:sdtContent>
        <w:p>
          <w:pPr>
            <w:spacing w:line="240" w:lineRule="auto"/>
            <w:rPr>
              <w:rFonts w:hint="eastAsia" w:asciiTheme="minorEastAsia" w:hAnsiTheme="minorEastAsia" w:eastAsiaTheme="minorEastAsia" w:cstheme="minorEastAsia"/>
              <w:sz w:val="24"/>
              <w:szCs w:val="24"/>
              <w:lang w:val="zh-CN"/>
            </w:rPr>
          </w:pPr>
          <w:bookmarkStart w:id="0" w:name="_Toc16072322"/>
          <w:bookmarkStart w:id="1" w:name="_Toc24381533"/>
          <w:bookmarkStart w:id="2" w:name="_Toc24382762"/>
          <w:bookmarkStart w:id="3" w:name="_Toc16072510"/>
        </w:p>
        <w:p>
          <w:pPr>
            <w:spacing w:line="240" w:lineRule="auto"/>
            <w:rPr>
              <w:rFonts w:hint="eastAsia" w:asciiTheme="minorEastAsia" w:hAnsiTheme="minorEastAsia" w:eastAsiaTheme="minorEastAsia" w:cstheme="minorEastAsia"/>
              <w:sz w:val="24"/>
              <w:szCs w:val="24"/>
            </w:rPr>
          </w:pPr>
        </w:p>
        <w:p>
          <w:pPr>
            <w:pStyle w:val="20"/>
            <w:spacing w:before="0" w:line="240" w:lineRule="auto"/>
            <w:ind w:left="1566" w:hanging="1566"/>
            <w:jc w:val="center"/>
            <w:outlineLvl w:val="0"/>
            <w:rPr>
              <w:rFonts w:hint="eastAsia" w:asciiTheme="minorEastAsia" w:hAnsiTheme="minorEastAsia" w:eastAsiaTheme="minorEastAsia" w:cstheme="minorEastAsia"/>
              <w:b/>
              <w:sz w:val="24"/>
              <w:szCs w:val="24"/>
            </w:rPr>
          </w:pPr>
          <w:bookmarkStart w:id="4" w:name="_Toc201178440"/>
          <w:bookmarkStart w:id="5" w:name="_Toc107315770"/>
          <w:bookmarkStart w:id="6" w:name="_Toc83650135"/>
          <w:bookmarkStart w:id="7" w:name="_Toc200473546"/>
          <w:r>
            <w:rPr>
              <w:rFonts w:hint="eastAsia" w:asciiTheme="minorEastAsia" w:hAnsiTheme="minorEastAsia" w:eastAsiaTheme="minorEastAsia" w:cstheme="minorEastAsia"/>
              <w:b/>
              <w:color w:val="auto"/>
              <w:sz w:val="24"/>
              <w:szCs w:val="24"/>
            </w:rPr>
            <w:t>目  录</w:t>
          </w:r>
          <w:bookmarkEnd w:id="0"/>
          <w:bookmarkEnd w:id="1"/>
          <w:bookmarkEnd w:id="2"/>
          <w:bookmarkEnd w:id="3"/>
          <w:bookmarkEnd w:id="4"/>
          <w:bookmarkEnd w:id="5"/>
          <w:bookmarkEnd w:id="6"/>
          <w:bookmarkEnd w:id="7"/>
        </w:p>
        <w:p>
          <w:pPr>
            <w:pStyle w:val="7"/>
            <w:tabs>
              <w:tab w:val="right" w:leader="dot" w:pos="8296"/>
            </w:tabs>
            <w:spacing w:line="240" w:lineRule="auto"/>
            <w:ind w:left="660" w:hanging="6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TOC \o "1-3" \h \z \u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"_Toc201178440"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目  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_Toc201178440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7"/>
            <w:tabs>
              <w:tab w:val="right" w:leader="dot" w:pos="8296"/>
            </w:tabs>
            <w:spacing w:line="240" w:lineRule="auto"/>
            <w:ind w:left="660" w:hanging="6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"_Toc201178441"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第一章  总则</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_Toc201178441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7"/>
            <w:tabs>
              <w:tab w:val="right" w:leader="dot" w:pos="8296"/>
            </w:tabs>
            <w:spacing w:line="240" w:lineRule="auto"/>
            <w:ind w:left="660" w:hanging="6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"_Toc201178442"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第二章  规划原则</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_Toc201178442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7"/>
            <w:tabs>
              <w:tab w:val="right" w:leader="dot" w:pos="8296"/>
            </w:tabs>
            <w:spacing w:line="240" w:lineRule="auto"/>
            <w:ind w:left="660" w:hanging="6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"_Toc201178443"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第三章  工作内容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_Toc201178443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7"/>
            <w:tabs>
              <w:tab w:val="right" w:leader="dot" w:pos="8296"/>
            </w:tabs>
            <w:spacing w:line="240" w:lineRule="auto"/>
            <w:ind w:left="660" w:hanging="6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"_Toc201178444"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第四章  成果要求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_Toc201178444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7"/>
            <w:tabs>
              <w:tab w:val="right" w:leader="dot" w:pos="8296"/>
            </w:tabs>
            <w:spacing w:line="240" w:lineRule="auto"/>
            <w:ind w:left="660" w:hanging="6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"_Toc201178445"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第五章  成果报送审查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_Toc201178445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7"/>
            <w:tabs>
              <w:tab w:val="right" w:leader="dot" w:pos="8296"/>
            </w:tabs>
            <w:spacing w:line="240" w:lineRule="auto"/>
            <w:ind w:left="660" w:hanging="6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"_Toc201178446"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第六章  时间计划</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_Toc201178446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7"/>
            <w:tabs>
              <w:tab w:val="right" w:leader="dot" w:pos="8296"/>
            </w:tabs>
            <w:spacing w:line="240" w:lineRule="auto"/>
            <w:ind w:left="660" w:hanging="6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"_Toc201178447"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第七章  附  则</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_Toc201178447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adjustRightInd w:val="0"/>
            <w:snapToGrid w:val="0"/>
            <w:spacing w:line="240" w:lineRule="auto"/>
            <w:ind w:left="1566" w:hanging="1566"/>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end"/>
          </w:r>
        </w:p>
      </w:sdtContent>
    </w:sdt>
    <w:p>
      <w:pPr>
        <w:tabs>
          <w:tab w:val="left" w:pos="7311"/>
        </w:tabs>
        <w:spacing w:line="240" w:lineRule="auto"/>
        <w:ind w:left="630" w:hanging="63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ab/>
      </w:r>
    </w:p>
    <w:p>
      <w:pPr>
        <w:tabs>
          <w:tab w:val="left" w:pos="7311"/>
        </w:tabs>
        <w:spacing w:line="240" w:lineRule="auto"/>
        <w:ind w:left="630" w:hanging="630"/>
        <w:rPr>
          <w:rFonts w:hint="eastAsia" w:asciiTheme="minorEastAsia" w:hAnsiTheme="minorEastAsia" w:eastAsiaTheme="minorEastAsia" w:cstheme="minorEastAsia"/>
          <w:b/>
          <w:bCs/>
          <w:sz w:val="24"/>
          <w:szCs w:val="24"/>
        </w:rPr>
      </w:pPr>
    </w:p>
    <w:p>
      <w:pPr>
        <w:tabs>
          <w:tab w:val="left" w:pos="7311"/>
        </w:tabs>
        <w:spacing w:line="240" w:lineRule="auto"/>
        <w:ind w:left="630" w:hanging="630"/>
        <w:rPr>
          <w:rFonts w:hint="eastAsia" w:asciiTheme="minorEastAsia" w:hAnsiTheme="minorEastAsia" w:eastAsiaTheme="minorEastAsia" w:cstheme="minorEastAsia"/>
          <w:b/>
          <w:bCs/>
          <w:sz w:val="24"/>
          <w:szCs w:val="24"/>
        </w:rPr>
      </w:pPr>
    </w:p>
    <w:p>
      <w:pPr>
        <w:tabs>
          <w:tab w:val="left" w:pos="7311"/>
        </w:tabs>
        <w:spacing w:line="240" w:lineRule="auto"/>
        <w:ind w:left="630" w:hanging="630"/>
        <w:rPr>
          <w:rFonts w:hint="eastAsia" w:asciiTheme="minorEastAsia" w:hAnsiTheme="minorEastAsia" w:eastAsiaTheme="minorEastAsia" w:cstheme="minorEastAsia"/>
          <w:b/>
          <w:bCs/>
          <w:sz w:val="24"/>
          <w:szCs w:val="24"/>
        </w:rPr>
      </w:pPr>
    </w:p>
    <w:p>
      <w:pPr>
        <w:tabs>
          <w:tab w:val="left" w:pos="7311"/>
        </w:tabs>
        <w:spacing w:line="240" w:lineRule="auto"/>
        <w:ind w:left="630" w:hanging="630"/>
        <w:rPr>
          <w:rFonts w:hint="eastAsia" w:asciiTheme="minorEastAsia" w:hAnsiTheme="minorEastAsia" w:eastAsiaTheme="minorEastAsia" w:cstheme="minorEastAsia"/>
          <w:b/>
          <w:bCs/>
          <w:sz w:val="24"/>
          <w:szCs w:val="24"/>
        </w:rPr>
      </w:pPr>
    </w:p>
    <w:p>
      <w:pPr>
        <w:tabs>
          <w:tab w:val="left" w:pos="7311"/>
        </w:tabs>
        <w:spacing w:line="240" w:lineRule="auto"/>
        <w:ind w:left="630" w:hanging="630"/>
        <w:rPr>
          <w:rFonts w:hint="eastAsia" w:asciiTheme="minorEastAsia" w:hAnsiTheme="minorEastAsia" w:eastAsiaTheme="minorEastAsia" w:cstheme="minorEastAsia"/>
          <w:b/>
          <w:bCs/>
          <w:sz w:val="24"/>
          <w:szCs w:val="24"/>
        </w:rPr>
      </w:pPr>
    </w:p>
    <w:p>
      <w:pPr>
        <w:tabs>
          <w:tab w:val="left" w:pos="7311"/>
        </w:tabs>
        <w:spacing w:line="240" w:lineRule="auto"/>
        <w:ind w:left="630" w:hanging="630"/>
        <w:rPr>
          <w:rFonts w:hint="eastAsia" w:asciiTheme="minorEastAsia" w:hAnsiTheme="minorEastAsia" w:eastAsiaTheme="minorEastAsia" w:cstheme="minorEastAsia"/>
          <w:b/>
          <w:bCs/>
          <w:sz w:val="24"/>
          <w:szCs w:val="24"/>
        </w:rPr>
      </w:pPr>
    </w:p>
    <w:p>
      <w:pPr>
        <w:tabs>
          <w:tab w:val="left" w:pos="7311"/>
        </w:tabs>
        <w:spacing w:line="240" w:lineRule="auto"/>
        <w:ind w:left="630" w:hanging="630"/>
        <w:rPr>
          <w:rFonts w:hint="eastAsia" w:asciiTheme="minorEastAsia" w:hAnsiTheme="minorEastAsia" w:eastAsiaTheme="minorEastAsia" w:cstheme="minorEastAsia"/>
          <w:b/>
          <w:bCs/>
          <w:sz w:val="24"/>
          <w:szCs w:val="24"/>
        </w:rPr>
      </w:pPr>
    </w:p>
    <w:p>
      <w:pPr>
        <w:tabs>
          <w:tab w:val="left" w:pos="7311"/>
        </w:tabs>
        <w:spacing w:line="240" w:lineRule="auto"/>
        <w:ind w:left="630" w:hanging="630"/>
        <w:rPr>
          <w:rFonts w:hint="eastAsia" w:asciiTheme="minorEastAsia" w:hAnsiTheme="minorEastAsia" w:eastAsiaTheme="minorEastAsia" w:cstheme="minorEastAsia"/>
          <w:b/>
          <w:bCs/>
          <w:sz w:val="24"/>
          <w:szCs w:val="24"/>
        </w:rPr>
      </w:pPr>
    </w:p>
    <w:p>
      <w:pPr>
        <w:tabs>
          <w:tab w:val="left" w:pos="7311"/>
        </w:tabs>
        <w:spacing w:line="240" w:lineRule="auto"/>
        <w:ind w:left="630" w:hanging="630"/>
        <w:rPr>
          <w:rFonts w:hint="eastAsia" w:asciiTheme="minorEastAsia" w:hAnsiTheme="minorEastAsia" w:eastAsiaTheme="minorEastAsia" w:cstheme="minorEastAsia"/>
          <w:b/>
          <w:bCs/>
          <w:sz w:val="24"/>
          <w:szCs w:val="24"/>
        </w:rPr>
      </w:pPr>
    </w:p>
    <w:p>
      <w:pPr>
        <w:rPr>
          <w:rFonts w:hint="eastAsia" w:asciiTheme="minorEastAsia" w:hAnsiTheme="minorEastAsia" w:eastAsiaTheme="minorEastAsia" w:cstheme="minorEastAsia"/>
          <w:b/>
          <w:bCs/>
          <w:sz w:val="24"/>
          <w:szCs w:val="24"/>
        </w:rPr>
      </w:pPr>
      <w:bookmarkStart w:id="8" w:name="_Toc201169604"/>
      <w:bookmarkStart w:id="9" w:name="_Toc201178441"/>
      <w:r>
        <w:rPr>
          <w:rFonts w:hint="eastAsia" w:asciiTheme="minorEastAsia" w:hAnsiTheme="minorEastAsia" w:eastAsiaTheme="minorEastAsia" w:cstheme="minorEastAsia"/>
          <w:b/>
          <w:bCs/>
          <w:sz w:val="24"/>
          <w:szCs w:val="24"/>
        </w:rPr>
        <w:br w:type="page"/>
      </w:r>
    </w:p>
    <w:p>
      <w:pPr>
        <w:keepNext/>
        <w:keepLines/>
        <w:spacing w:before="260" w:after="260" w:line="240" w:lineRule="auto"/>
        <w:jc w:val="center"/>
        <w:outlineLvl w:val="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第一章  总则</w:t>
      </w:r>
      <w:bookmarkEnd w:id="8"/>
      <w:bookmarkEnd w:id="9"/>
    </w:p>
    <w:p>
      <w:pPr>
        <w:spacing w:line="240" w:lineRule="auto"/>
        <w:ind w:firstLine="482" w:firstLineChars="200"/>
        <w:jc w:val="left"/>
        <w:rPr>
          <w:rFonts w:hint="eastAsia" w:asciiTheme="minorEastAsia" w:hAnsiTheme="minorEastAsia" w:eastAsiaTheme="minorEastAsia" w:cstheme="minorEastAsia"/>
          <w:sz w:val="24"/>
          <w:szCs w:val="24"/>
        </w:rPr>
      </w:pPr>
      <w:bookmarkStart w:id="10" w:name="OLE_LINK7"/>
      <w:bookmarkStart w:id="11" w:name="OLE_LINK6"/>
      <w:bookmarkStart w:id="12" w:name="OLE_LINK1"/>
      <w:bookmarkStart w:id="13" w:name="_Toc17060_WPSOffice_Level1"/>
      <w:bookmarkStart w:id="14" w:name="OLE_LINK5"/>
      <w:bookmarkStart w:id="15" w:name="OLE_LINK2"/>
      <w:r>
        <w:rPr>
          <w:rFonts w:hint="eastAsia" w:asciiTheme="minorEastAsia" w:hAnsiTheme="minorEastAsia" w:eastAsiaTheme="minorEastAsia" w:cstheme="minorEastAsia"/>
          <w:b/>
          <w:sz w:val="24"/>
          <w:szCs w:val="24"/>
        </w:rPr>
        <w:t xml:space="preserve">第一条 </w:t>
      </w:r>
      <w:r>
        <w:rPr>
          <w:rFonts w:hint="eastAsia" w:asciiTheme="minorEastAsia" w:hAnsiTheme="minorEastAsia" w:eastAsiaTheme="minorEastAsia" w:cstheme="minorEastAsia"/>
          <w:sz w:val="24"/>
          <w:szCs w:val="24"/>
        </w:rPr>
        <w:t>为深入贯彻落实生态文明建设重要思想，秀全湖片区依托优质生态资源禀赋及一级饮用水源保护区优化调整契机，其凭借生态与区位等核心优势入选广州市 18 个科创集聚区，成为龙头科创企业集聚的战略平台，迎来发展新机遇。在花都新时期发展格局中，该片区作为花都大道产业廊道与中轴线交汇节点，与白云国际机场、广州北站构成 “黄金三角” 发展引擎，战略地位愈发凸显。为加快推动片区高质量发展、实现生态营城目标，特开展秀全湖周边地区整体策划。</w:t>
      </w:r>
    </w:p>
    <w:bookmarkEnd w:id="10"/>
    <w:bookmarkEnd w:id="11"/>
    <w:p>
      <w:pPr>
        <w:widowControl/>
        <w:spacing w:line="240" w:lineRule="auto"/>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 xml:space="preserve">第二条 </w:t>
      </w:r>
      <w:r>
        <w:rPr>
          <w:rFonts w:hint="eastAsia" w:asciiTheme="minorEastAsia" w:hAnsiTheme="minorEastAsia" w:eastAsiaTheme="minorEastAsia" w:cstheme="minorEastAsia"/>
          <w:sz w:val="24"/>
          <w:szCs w:val="24"/>
        </w:rPr>
        <w:t>本次规划范围位于花都区花城街与狮岭镇交界处，规划范围西至Y717，东至天贵北路，北至金狮大道，南至三东大道，规划面积约23平方公里。其中，秀全湖公园规划面积约8平方公里。</w:t>
      </w:r>
    </w:p>
    <w:bookmarkEnd w:id="12"/>
    <w:bookmarkEnd w:id="13"/>
    <w:bookmarkEnd w:id="14"/>
    <w:bookmarkEnd w:id="15"/>
    <w:p>
      <w:pPr>
        <w:widowControl/>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177155" cy="4087495"/>
            <wp:effectExtent l="0" t="0" r="4445"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 cstate="print">
                      <a:extLst>
                        <a:ext uri="{28A0092B-C50C-407E-A947-70E740481C1C}">
                          <a14:useLocalDpi xmlns:a14="http://schemas.microsoft.com/office/drawing/2010/main" val="0"/>
                        </a:ext>
                      </a:extLst>
                    </a:blip>
                    <a:srcRect l="10096" t="4235" r="13740"/>
                    <a:stretch>
                      <a:fillRect/>
                    </a:stretch>
                  </pic:blipFill>
                  <pic:spPr>
                    <a:xfrm>
                      <a:off x="0" y="0"/>
                      <a:ext cx="5200142" cy="4105680"/>
                    </a:xfrm>
                    <a:prstGeom prst="rect">
                      <a:avLst/>
                    </a:prstGeom>
                    <a:noFill/>
                    <a:ln>
                      <a:noFill/>
                    </a:ln>
                  </pic:spPr>
                </pic:pic>
              </a:graphicData>
            </a:graphic>
          </wp:inline>
        </w:drawing>
      </w:r>
    </w:p>
    <w:p>
      <w:pPr>
        <w:widowControl/>
        <w:spacing w:line="240" w:lineRule="auto"/>
        <w:ind w:firstLine="480" w:firstLineChars="20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规划范围图</w:t>
      </w:r>
    </w:p>
    <w:p>
      <w:pPr>
        <w:spacing w:line="240" w:lineRule="auto"/>
        <w:ind w:firstLine="48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 xml:space="preserve">第三条 </w:t>
      </w:r>
      <w:bookmarkStart w:id="16" w:name="OLE_LINK10"/>
      <w:r>
        <w:rPr>
          <w:rFonts w:hint="eastAsia" w:asciiTheme="minorEastAsia" w:hAnsiTheme="minorEastAsia" w:eastAsiaTheme="minorEastAsia" w:cstheme="minorEastAsia"/>
          <w:sz w:val="24"/>
          <w:szCs w:val="24"/>
        </w:rPr>
        <w:t>广州市规划和自然资源局花都分局</w:t>
      </w:r>
      <w:bookmarkEnd w:id="16"/>
      <w:r>
        <w:rPr>
          <w:rFonts w:hint="eastAsia" w:asciiTheme="minorEastAsia" w:hAnsiTheme="minorEastAsia" w:eastAsiaTheme="minorEastAsia" w:cstheme="minorEastAsia"/>
          <w:sz w:val="24"/>
          <w:szCs w:val="24"/>
        </w:rPr>
        <w:t>负责本项目的技术指导及组织编制。</w:t>
      </w:r>
    </w:p>
    <w:p>
      <w:pPr>
        <w:spacing w:line="240" w:lineRule="auto"/>
        <w:ind w:firstLine="48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 xml:space="preserve">第四条 </w:t>
      </w:r>
      <w:r>
        <w:rPr>
          <w:rFonts w:hint="eastAsia" w:asciiTheme="minorEastAsia" w:hAnsiTheme="minorEastAsia" w:eastAsiaTheme="minorEastAsia" w:cstheme="minorEastAsia"/>
          <w:sz w:val="24"/>
          <w:szCs w:val="24"/>
        </w:rPr>
        <w:t xml:space="preserve">本项目工作期限为合同签订后9个月（不含行政审查时间）。 </w:t>
      </w:r>
    </w:p>
    <w:p>
      <w:pPr>
        <w:spacing w:line="240" w:lineRule="auto"/>
        <w:ind w:firstLine="48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 xml:space="preserve">第五条 </w:t>
      </w:r>
      <w:r>
        <w:rPr>
          <w:rFonts w:hint="eastAsia" w:asciiTheme="minorEastAsia" w:hAnsiTheme="minorEastAsia" w:eastAsiaTheme="minorEastAsia" w:cstheme="minorEastAsia"/>
          <w:sz w:val="24"/>
          <w:szCs w:val="24"/>
        </w:rPr>
        <w:t>承接本项目的单位被视为承认本任务书所有条款，并按本任务书规定的条款完成广州花都秀全湖周边片区整体策划规划工作。</w:t>
      </w:r>
    </w:p>
    <w:p>
      <w:pPr>
        <w:keepNext/>
        <w:keepLines/>
        <w:spacing w:before="260" w:after="260" w:line="240" w:lineRule="auto"/>
        <w:jc w:val="center"/>
        <w:outlineLvl w:val="0"/>
        <w:rPr>
          <w:rFonts w:hint="eastAsia" w:asciiTheme="minorEastAsia" w:hAnsiTheme="minorEastAsia" w:eastAsiaTheme="minorEastAsia" w:cstheme="minorEastAsia"/>
          <w:b/>
          <w:bCs/>
          <w:sz w:val="24"/>
          <w:szCs w:val="24"/>
        </w:rPr>
      </w:pPr>
      <w:bookmarkStart w:id="17" w:name="_Toc201178442"/>
      <w:bookmarkStart w:id="18" w:name="_Toc201169605"/>
      <w:r>
        <w:rPr>
          <w:rFonts w:hint="eastAsia" w:asciiTheme="minorEastAsia" w:hAnsiTheme="minorEastAsia" w:eastAsiaTheme="minorEastAsia" w:cstheme="minorEastAsia"/>
          <w:b/>
          <w:bCs/>
          <w:sz w:val="24"/>
          <w:szCs w:val="24"/>
        </w:rPr>
        <w:t>第二章  规划原则</w:t>
      </w:r>
      <w:bookmarkEnd w:id="17"/>
      <w:bookmarkEnd w:id="18"/>
    </w:p>
    <w:p>
      <w:pPr>
        <w:widowControl/>
        <w:spacing w:line="240" w:lineRule="auto"/>
        <w:ind w:firstLine="48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第六条</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sz w:val="24"/>
          <w:szCs w:val="24"/>
        </w:rPr>
        <w:t>坚持高点定位，服务全局战略。</w:t>
      </w:r>
      <w:r>
        <w:rPr>
          <w:rFonts w:hint="eastAsia" w:asciiTheme="minorEastAsia" w:hAnsiTheme="minorEastAsia" w:eastAsiaTheme="minorEastAsia" w:cstheme="minorEastAsia"/>
          <w:sz w:val="24"/>
          <w:szCs w:val="24"/>
        </w:rPr>
        <w:t>服务花都区整体城市战略，贯彻生态营城发展理念，紧紧围绕推进中国式现代化，不断激发创新活力和内生动力，积极参与构建新发展格局。</w:t>
      </w:r>
    </w:p>
    <w:p>
      <w:pPr>
        <w:widowControl/>
        <w:spacing w:line="240" w:lineRule="auto"/>
        <w:ind w:firstLine="482" w:firstLineChars="20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bCs/>
          <w:sz w:val="24"/>
          <w:szCs w:val="24"/>
        </w:rPr>
        <w:t>第七条</w:t>
      </w:r>
      <w:r>
        <w:rPr>
          <w:rFonts w:hint="eastAsia" w:asciiTheme="minorEastAsia" w:hAnsiTheme="minorEastAsia" w:eastAsiaTheme="minorEastAsia" w:cstheme="minorEastAsia"/>
          <w:b/>
          <w:sz w:val="24"/>
          <w:szCs w:val="24"/>
        </w:rPr>
        <w:t xml:space="preserve">  坚持整体谋划，加强区域协调。</w:t>
      </w:r>
      <w:r>
        <w:rPr>
          <w:rFonts w:hint="eastAsia" w:asciiTheme="minorEastAsia" w:hAnsiTheme="minorEastAsia" w:eastAsiaTheme="minorEastAsia" w:cstheme="minorEastAsia"/>
          <w:sz w:val="24"/>
          <w:szCs w:val="24"/>
        </w:rPr>
        <w:t>将规划范围周边涉及的花都大道沿线重点平台，适度包括环王子山地区、花都中轴线地区、融创文旅城片区等辐射范围作为一个整体谋划，加强各重点功能平台之间的功能协</w:t>
      </w:r>
      <w:r>
        <w:rPr>
          <w:rFonts w:hint="eastAsia" w:asciiTheme="minorEastAsia" w:hAnsiTheme="minorEastAsia" w:eastAsiaTheme="minorEastAsia" w:cstheme="minorEastAsia"/>
          <w:bCs/>
          <w:sz w:val="24"/>
          <w:szCs w:val="24"/>
        </w:rPr>
        <w:t>同。</w:t>
      </w:r>
    </w:p>
    <w:p>
      <w:pPr>
        <w:widowControl/>
        <w:spacing w:line="240" w:lineRule="auto"/>
        <w:ind w:firstLine="482" w:firstLineChars="20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bCs/>
          <w:sz w:val="24"/>
          <w:szCs w:val="24"/>
        </w:rPr>
        <w:t>第八条  坚持绿色发展，提升安全韧性。</w:t>
      </w:r>
      <w:r>
        <w:rPr>
          <w:rFonts w:hint="eastAsia" w:asciiTheme="minorEastAsia" w:hAnsiTheme="minorEastAsia" w:eastAsiaTheme="minorEastAsia" w:cstheme="minorEastAsia"/>
          <w:bCs/>
          <w:sz w:val="24"/>
          <w:szCs w:val="24"/>
        </w:rPr>
        <w:t>坚持 “绿水青山就是金山银山”的理念，在保护好秀全湖生态本底前提下，实现经济社会生态效益相统一，推动人与自然和谐共生。</w:t>
      </w:r>
    </w:p>
    <w:p>
      <w:pPr>
        <w:widowControl/>
        <w:spacing w:line="240" w:lineRule="auto"/>
        <w:ind w:firstLine="482" w:firstLineChars="20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bCs/>
          <w:sz w:val="24"/>
          <w:szCs w:val="24"/>
        </w:rPr>
        <w:t>第九条</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t>坚持实施导向，促进共建共享。</w:t>
      </w:r>
      <w:r>
        <w:rPr>
          <w:rFonts w:hint="eastAsia" w:asciiTheme="minorEastAsia" w:hAnsiTheme="minorEastAsia" w:eastAsiaTheme="minorEastAsia" w:cstheme="minorEastAsia"/>
          <w:bCs/>
          <w:sz w:val="24"/>
          <w:szCs w:val="24"/>
        </w:rPr>
        <w:t>以实施为导向，编制有用、管用的规划，整合各权益主体的土地资源，推动一批有战略性、有针对性的重大项目落地。</w:t>
      </w:r>
    </w:p>
    <w:p>
      <w:pPr>
        <w:keepNext/>
        <w:keepLines/>
        <w:spacing w:before="260" w:after="260" w:line="240" w:lineRule="auto"/>
        <w:jc w:val="center"/>
        <w:outlineLvl w:val="0"/>
        <w:rPr>
          <w:rFonts w:hint="eastAsia" w:asciiTheme="minorEastAsia" w:hAnsiTheme="minorEastAsia" w:eastAsiaTheme="minorEastAsia" w:cstheme="minorEastAsia"/>
          <w:b/>
          <w:bCs/>
          <w:sz w:val="24"/>
          <w:szCs w:val="24"/>
        </w:rPr>
      </w:pPr>
      <w:bookmarkStart w:id="19" w:name="_Toc201178443"/>
      <w:r>
        <w:rPr>
          <w:rFonts w:hint="eastAsia" w:asciiTheme="minorEastAsia" w:hAnsiTheme="minorEastAsia" w:eastAsiaTheme="minorEastAsia" w:cstheme="minorEastAsia"/>
          <w:b/>
          <w:bCs/>
          <w:sz w:val="24"/>
          <w:szCs w:val="24"/>
        </w:rPr>
        <w:t>第三章  工作内容</w:t>
      </w:r>
      <w:bookmarkEnd w:id="19"/>
    </w:p>
    <w:p>
      <w:pPr>
        <w:widowControl/>
        <w:spacing w:line="240" w:lineRule="auto"/>
        <w:ind w:firstLine="482" w:firstLineChars="200"/>
        <w:jc w:val="left"/>
        <w:rPr>
          <w:rFonts w:hint="eastAsia" w:asciiTheme="minorEastAsia" w:hAnsiTheme="minorEastAsia" w:eastAsiaTheme="minorEastAsia" w:cstheme="minorEastAsia"/>
          <w:b/>
          <w:bCs/>
          <w:sz w:val="24"/>
          <w:szCs w:val="24"/>
        </w:rPr>
      </w:pPr>
      <w:bookmarkStart w:id="20" w:name="OLE_LINK3"/>
      <w:bookmarkStart w:id="21" w:name="OLE_LINK4"/>
      <w:r>
        <w:rPr>
          <w:rFonts w:hint="eastAsia" w:asciiTheme="minorEastAsia" w:hAnsiTheme="minorEastAsia" w:eastAsiaTheme="minorEastAsia" w:cstheme="minorEastAsia"/>
          <w:b/>
          <w:bCs/>
          <w:sz w:val="24"/>
          <w:szCs w:val="24"/>
        </w:rPr>
        <w:t xml:space="preserve">第十条 </w:t>
      </w:r>
      <w:r>
        <w:rPr>
          <w:rFonts w:hint="eastAsia" w:asciiTheme="minorEastAsia" w:hAnsiTheme="minorEastAsia" w:eastAsiaTheme="minorEastAsia" w:cstheme="minorEastAsia"/>
          <w:bCs/>
          <w:sz w:val="24"/>
          <w:szCs w:val="24"/>
        </w:rPr>
        <w:t>本次规划主要形成“1+1+1”的成果体系：即1个广州花都秀全湖周边片区整体策划、1个秀全湖公园景观综合提升总体方案及1个近期建设计划（含重点项目库）。</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现状梳理及综合研判</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系统梳理片区区位、交通、用地、地形、生态、产业、权属等基本情况，开展地区现状评估工作，分析现状存在问题，总结地区城市建设管理成效与不足，明确亟待解决的关键问题。</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相关案例研究</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开展国内外类似地区的成功案例研究，总结其发展模式、规划策略、运营经验等经验，为项目定位及发展策略提供借鉴。</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发展定位与功能</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深入研究片区与周边地区的区域竞合关系，结合城市发展要求、产业发展定位和重点，明确片区在区域发展格局中的角色与定位。围绕高质量生态、高质量产业、高质量生活三大目标，明确片区发展定位及功能主题。</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产业空间布局</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通过开展现状调研和对产业发展趋势等外部环境的分析研判，综合判定地区产业发展战略。构建科学合理的产业体系，产业发展规模目标以及产业空间布局。</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空间布局规划</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提出片区总体功能结构、空间战略及概念性土地利用规划，明确空间发展总体目标与策略、各片区功能定位、发展重点、规划指引等内容，指导后续用地及发展。</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重点项目策划</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结合总体定位与功能产业需求，策划片区内若干重点项目，明确重点项目的功能、规模、建设内容等关键内容。</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概念城市设计</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结合地区山水格局和重要节点形象打造，开展概念城市设计。通过城市设计确定地区总体空间形态、景观风貌分区、重要景观廊道、重要节点、重要城市界面等要素。</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综合交通规划</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构建片区外畅内达的综合交通体系，提出综合交通优化方案及关键策略。工作内容包括现状分析、区域交通衔接、道路交通规划、轨道交通优化建议、公共交通规划、慢行交通规划、近期道路建设建议等。</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重大公共服务设施规划</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结合地区功能布局、未来人口画像和人口分布，明确片区公共服务体系，合理布局重大公共服务设施，提升片区公共服务水平与居民生活质量。</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公共空间系统及绿地规划</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梳理地区生态资源条件，构建区域生态安全格局。优化生态保护控制要求，提出低影响开发建设、可持续性的低碳生态发展策略，规划地区公园绿地系统，梳理片区蓝脉绿网格局，构建完善的公共空间系统。</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秀全湖公园景观综合提升总体方案</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合片区总体定位与功能需求，确定秀全湖公园景观综合提升的定位与目标，开展秀全湖公园景观方案设计，优化公园空间布局与景观效果，包括步道规划、重要节点设计，公共服务设施、林相优化等，梳理近期实施计划。</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分期开发思路</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结合片区建设现状，统筹考虑片区发展及规划要求、拆迁难易程度、土地权属、资金情况等，科学合理划定片区开发时序以及建设重点。</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近期建设计划及重点项目库</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重点针对秀全湖公园建设、重点产业平台、骨架交通廊道与重大公共服务设施等提出具体的实施建议，谋划一批影响力大、带动性强的重点项目，形成重点项目库。明确重点项目建设规模、建设内容、投资估算等。</w:t>
      </w:r>
    </w:p>
    <w:p>
      <w:pPr>
        <w:pStyle w:val="12"/>
        <w:widowControl/>
        <w:numPr>
          <w:ilvl w:val="0"/>
          <w:numId w:val="1"/>
        </w:numPr>
        <w:spacing w:line="240" w:lineRule="auto"/>
        <w:ind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建设运营机制</w:t>
      </w:r>
    </w:p>
    <w:p>
      <w:pPr>
        <w:spacing w:line="240" w:lineRule="auto"/>
        <w:ind w:firstLine="6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充分吸收国内外相似片区建设运营机制经验，结合花都实际情况，探索适合片区开发建设、综合管理运营的机制建议，确保项目顺利实施与可持续发展。</w:t>
      </w:r>
    </w:p>
    <w:p>
      <w:pPr>
        <w:keepNext/>
        <w:keepLines/>
        <w:spacing w:before="260" w:after="260" w:line="240" w:lineRule="auto"/>
        <w:jc w:val="center"/>
        <w:outlineLvl w:val="0"/>
        <w:rPr>
          <w:rFonts w:hint="eastAsia" w:asciiTheme="minorEastAsia" w:hAnsiTheme="minorEastAsia" w:eastAsiaTheme="minorEastAsia" w:cstheme="minorEastAsia"/>
          <w:b/>
          <w:bCs/>
          <w:sz w:val="24"/>
          <w:szCs w:val="24"/>
        </w:rPr>
      </w:pPr>
      <w:bookmarkStart w:id="22" w:name="_Toc201178444"/>
      <w:r>
        <w:rPr>
          <w:rFonts w:hint="eastAsia" w:asciiTheme="minorEastAsia" w:hAnsiTheme="minorEastAsia" w:eastAsiaTheme="minorEastAsia" w:cstheme="minorEastAsia"/>
          <w:b/>
          <w:bCs/>
          <w:sz w:val="24"/>
          <w:szCs w:val="24"/>
        </w:rPr>
        <w:t>第四章  成果要求</w:t>
      </w:r>
      <w:bookmarkEnd w:id="22"/>
    </w:p>
    <w:p>
      <w:pPr>
        <w:spacing w:line="240" w:lineRule="auto"/>
        <w:ind w:left="-172" w:leftChars="-326" w:hanging="513" w:hangingChars="21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 xml:space="preserve">        第十一条  </w:t>
      </w:r>
      <w:r>
        <w:rPr>
          <w:rFonts w:hint="eastAsia" w:asciiTheme="minorEastAsia" w:hAnsiTheme="minorEastAsia" w:eastAsiaTheme="minorEastAsia" w:cstheme="minorEastAsia"/>
          <w:sz w:val="24"/>
          <w:szCs w:val="24"/>
        </w:rPr>
        <w:t>项目成果必须符合本任务书的有关规定，深度符合国家、省市相关行业标准、技术规范等的要求，达到本次规划工作的预期目标。</w:t>
      </w:r>
    </w:p>
    <w:p>
      <w:pPr>
        <w:spacing w:line="240" w:lineRule="auto"/>
        <w:ind w:left="-172" w:leftChars="-326" w:hanging="513" w:hangingChars="21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sz w:val="24"/>
          <w:szCs w:val="24"/>
        </w:rPr>
        <w:t>第十二条</w:t>
      </w:r>
      <w:r>
        <w:rPr>
          <w:rFonts w:hint="eastAsia" w:asciiTheme="minorEastAsia" w:hAnsiTheme="minorEastAsia" w:eastAsiaTheme="minorEastAsia" w:cstheme="minorEastAsia"/>
          <w:b/>
          <w:sz w:val="24"/>
          <w:szCs w:val="24"/>
        </w:rPr>
        <w:tab/>
      </w:r>
      <w:r>
        <w:rPr>
          <w:rFonts w:hint="eastAsia" w:asciiTheme="minorEastAsia" w:hAnsiTheme="minorEastAsia" w:eastAsiaTheme="minorEastAsia" w:cstheme="minorEastAsia"/>
          <w:sz w:val="24"/>
          <w:szCs w:val="24"/>
        </w:rPr>
        <w:t>工作成果规格要求：</w:t>
      </w:r>
    </w:p>
    <w:p>
      <w:pPr>
        <w:spacing w:line="240" w:lineRule="auto"/>
        <w:ind w:firstLine="480" w:firstLineChars="200"/>
        <w:rPr>
          <w:rFonts w:hint="eastAsia" w:asciiTheme="minorEastAsia" w:hAnsiTheme="minorEastAsia" w:eastAsiaTheme="minorEastAsia" w:cstheme="minorEastAsia"/>
          <w:color w:val="000000"/>
          <w:sz w:val="24"/>
          <w:szCs w:val="24"/>
        </w:rPr>
      </w:pPr>
      <w:bookmarkStart w:id="23" w:name="_Toc5894_WPSOffice_Level1"/>
      <w:r>
        <w:rPr>
          <w:rFonts w:hint="eastAsia" w:asciiTheme="minorEastAsia" w:hAnsiTheme="minorEastAsia" w:eastAsiaTheme="minorEastAsia" w:cstheme="minorEastAsia"/>
          <w:color w:val="000000"/>
          <w:sz w:val="24"/>
          <w:szCs w:val="24"/>
        </w:rPr>
        <w:t>1.文本</w:t>
      </w:r>
      <w:r>
        <w:rPr>
          <w:rFonts w:hint="eastAsia" w:asciiTheme="minorEastAsia" w:hAnsiTheme="minorEastAsia" w:eastAsiaTheme="minorEastAsia" w:cstheme="minorEastAsia"/>
          <w:b/>
          <w:bCs/>
          <w:color w:val="000000"/>
          <w:sz w:val="24"/>
          <w:szCs w:val="24"/>
        </w:rPr>
        <w:t>：</w:t>
      </w:r>
      <w:r>
        <w:rPr>
          <w:rFonts w:hint="eastAsia" w:asciiTheme="minorEastAsia" w:hAnsiTheme="minorEastAsia" w:eastAsiaTheme="minorEastAsia" w:cstheme="minorEastAsia"/>
          <w:color w:val="000000"/>
          <w:sz w:val="24"/>
          <w:szCs w:val="24"/>
        </w:rPr>
        <w:t>应准确，完整地表达工作意图和内容，根据工作需要提供报告打印套数。</w:t>
      </w:r>
    </w:p>
    <w:p>
      <w:pPr>
        <w:spacing w:line="24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2.图纸：力求清晰、标注齐全、准确，同类图纸规格尽量统一。会议汇报、对外宣传所需图纸应根据甲方要求制作。图纸数量不限。</w:t>
      </w:r>
    </w:p>
    <w:p>
      <w:pPr>
        <w:spacing w:line="24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3.计算机文件</w:t>
      </w:r>
      <w:r>
        <w:rPr>
          <w:rFonts w:hint="eastAsia" w:asciiTheme="minorEastAsia" w:hAnsiTheme="minorEastAsia" w:eastAsiaTheme="minorEastAsia" w:cstheme="minorEastAsia"/>
          <w:b/>
          <w:bCs/>
          <w:color w:val="000000"/>
          <w:sz w:val="24"/>
          <w:szCs w:val="24"/>
        </w:rPr>
        <w:t>：</w:t>
      </w:r>
      <w:r>
        <w:rPr>
          <w:rFonts w:hint="eastAsia" w:asciiTheme="minorEastAsia" w:hAnsiTheme="minorEastAsia" w:eastAsiaTheme="minorEastAsia" w:cstheme="minorEastAsia"/>
          <w:color w:val="000000"/>
          <w:sz w:val="24"/>
          <w:szCs w:val="24"/>
        </w:rPr>
        <w:t>全部成果均应制作计算机文件，文本文件采用Microsoft Word的doc或Microsoft PowerPoint的pptx格式文件，图形文件采用广州2000坐标的CAD、GIS矢量格式文件和JPG格式，提供以上计算机文件光盘两套。</w:t>
      </w:r>
    </w:p>
    <w:p>
      <w:pPr>
        <w:autoSpaceDE w:val="0"/>
        <w:autoSpaceDN w:val="0"/>
        <w:adjustRightInd w:val="0"/>
        <w:spacing w:line="240" w:lineRule="auto"/>
        <w:ind w:firstLine="241" w:firstLineChars="100"/>
        <w:jc w:val="left"/>
        <w:rPr>
          <w:rFonts w:hint="eastAsia" w:asciiTheme="minorEastAsia" w:hAnsiTheme="minorEastAsia" w:eastAsiaTheme="minorEastAsia" w:cstheme="minorEastAsia"/>
          <w:color w:val="000000"/>
          <w:sz w:val="24"/>
          <w:szCs w:val="24"/>
        </w:rPr>
      </w:pPr>
      <w:bookmarkStart w:id="31" w:name="_GoBack"/>
      <w:bookmarkEnd w:id="31"/>
      <w:r>
        <w:rPr>
          <w:rFonts w:hint="eastAsia" w:asciiTheme="minorEastAsia" w:hAnsiTheme="minorEastAsia" w:eastAsiaTheme="minorEastAsia" w:cstheme="minorEastAsia"/>
          <w:b/>
          <w:color w:val="000000"/>
          <w:sz w:val="24"/>
          <w:szCs w:val="24"/>
        </w:rPr>
        <w:t>第十三条</w:t>
      </w:r>
      <w:r>
        <w:rPr>
          <w:rFonts w:hint="eastAsia" w:asciiTheme="minorEastAsia" w:hAnsiTheme="minorEastAsia" w:eastAsiaTheme="minorEastAsia" w:cstheme="minorEastAsia"/>
          <w:color w:val="000000"/>
          <w:sz w:val="24"/>
          <w:szCs w:val="24"/>
        </w:rPr>
        <w:t xml:space="preserve"> 本项目应遵守国家和广州市城市规划的相关法规和规范，符合招标技术文件规定，满足相关规划，技术标准和政府相关有效文件的要求。</w:t>
      </w:r>
    </w:p>
    <w:p>
      <w:pPr>
        <w:keepNext/>
        <w:keepLines/>
        <w:spacing w:before="260" w:after="260" w:line="240" w:lineRule="auto"/>
        <w:jc w:val="center"/>
        <w:outlineLvl w:val="0"/>
        <w:rPr>
          <w:rFonts w:hint="eastAsia" w:asciiTheme="minorEastAsia" w:hAnsiTheme="minorEastAsia" w:eastAsiaTheme="minorEastAsia" w:cstheme="minorEastAsia"/>
          <w:b/>
          <w:bCs/>
          <w:sz w:val="24"/>
          <w:szCs w:val="24"/>
        </w:rPr>
      </w:pPr>
      <w:bookmarkStart w:id="24" w:name="_Toc201178445"/>
      <w:r>
        <w:rPr>
          <w:rFonts w:hint="eastAsia" w:asciiTheme="minorEastAsia" w:hAnsiTheme="minorEastAsia" w:eastAsiaTheme="minorEastAsia" w:cstheme="minorEastAsia"/>
          <w:b/>
          <w:bCs/>
          <w:sz w:val="24"/>
          <w:szCs w:val="24"/>
        </w:rPr>
        <w:t>第五章  成果报送审查</w:t>
      </w:r>
      <w:bookmarkEnd w:id="23"/>
      <w:bookmarkEnd w:id="24"/>
    </w:p>
    <w:p>
      <w:pPr>
        <w:spacing w:line="240" w:lineRule="auto"/>
        <w:ind w:left="-142"/>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sz w:val="24"/>
          <w:szCs w:val="24"/>
        </w:rPr>
        <w:t>第十四条</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承接单位必须在指定时间之前将成果文件（包括纸质文件和电子文件）提交给广州市规划和自然资源局花都分局。</w:t>
      </w:r>
    </w:p>
    <w:p>
      <w:pPr>
        <w:spacing w:line="240" w:lineRule="auto"/>
        <w:ind w:left="-275" w:leftChars="-323" w:hanging="403" w:hangingChars="16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b/>
          <w:sz w:val="24"/>
          <w:szCs w:val="24"/>
        </w:rPr>
        <w:t xml:space="preserve">第十五条  </w:t>
      </w:r>
      <w:r>
        <w:rPr>
          <w:rFonts w:hint="eastAsia" w:asciiTheme="minorEastAsia" w:hAnsiTheme="minorEastAsia" w:eastAsiaTheme="minorEastAsia" w:cstheme="minorEastAsia"/>
          <w:sz w:val="24"/>
          <w:szCs w:val="24"/>
        </w:rPr>
        <w:t xml:space="preserve">提交的正式成果必须加注委托单位名称、承接单位名称及法人代表、项目负责人和设计人员名单，并加盖承接单位公章或城市规划研究出图专用章。 </w:t>
      </w:r>
    </w:p>
    <w:p>
      <w:pPr>
        <w:spacing w:line="240" w:lineRule="auto"/>
        <w:ind w:left="-275" w:leftChars="-323" w:hanging="403" w:hangingChars="16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b/>
          <w:sz w:val="24"/>
          <w:szCs w:val="24"/>
        </w:rPr>
        <w:t>第十六条</w:t>
      </w:r>
      <w:r>
        <w:rPr>
          <w:rFonts w:hint="eastAsia" w:asciiTheme="minorEastAsia" w:hAnsiTheme="minorEastAsia" w:eastAsiaTheme="minorEastAsia" w:cstheme="minorEastAsia"/>
          <w:sz w:val="24"/>
          <w:szCs w:val="24"/>
        </w:rPr>
        <w:t xml:space="preserve">  承接单位负责配合完成项目推进工作中的成果制作与汇报、公众参与、成果审查报批、成果宣传、对外交流等工作。</w:t>
      </w:r>
    </w:p>
    <w:p>
      <w:pPr>
        <w:keepNext/>
        <w:keepLines/>
        <w:spacing w:before="260" w:after="260" w:line="240" w:lineRule="auto"/>
        <w:jc w:val="center"/>
        <w:outlineLvl w:val="0"/>
        <w:rPr>
          <w:rFonts w:hint="eastAsia" w:asciiTheme="minorEastAsia" w:hAnsiTheme="minorEastAsia" w:eastAsiaTheme="minorEastAsia" w:cstheme="minorEastAsia"/>
          <w:b/>
          <w:bCs/>
          <w:sz w:val="24"/>
          <w:szCs w:val="24"/>
        </w:rPr>
      </w:pPr>
      <w:bookmarkStart w:id="25" w:name="_Toc201178446"/>
      <w:r>
        <w:rPr>
          <w:rFonts w:hint="eastAsia" w:asciiTheme="minorEastAsia" w:hAnsiTheme="minorEastAsia" w:eastAsiaTheme="minorEastAsia" w:cstheme="minorEastAsia"/>
          <w:b/>
          <w:bCs/>
          <w:sz w:val="24"/>
          <w:szCs w:val="24"/>
        </w:rPr>
        <w:t>第六章  时间计划</w:t>
      </w:r>
      <w:bookmarkEnd w:id="25"/>
    </w:p>
    <w:p>
      <w:pPr>
        <w:widowControl/>
        <w:spacing w:line="24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整个项目方案预计工作时间约9个月（不含行政审查时间），具体分为三个阶段：</w:t>
      </w:r>
    </w:p>
    <w:p>
      <w:pPr>
        <w:widowControl/>
        <w:spacing w:line="24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（一）第二阶段：3个月，初步成果阶段</w:t>
      </w:r>
    </w:p>
    <w:p>
      <w:pPr>
        <w:widowControl/>
        <w:spacing w:line="24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完成初步成果，向区相关部门、街道进行汇报，听取意见后完善初步方案。</w:t>
      </w:r>
    </w:p>
    <w:p>
      <w:pPr>
        <w:widowControl/>
        <w:spacing w:line="24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（二）第二阶段：3个月，中期成果阶段</w:t>
      </w:r>
    </w:p>
    <w:p>
      <w:pPr>
        <w:widowControl/>
        <w:spacing w:line="24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完成中期成果，就中期成果向区主要领导进行汇报，根据区委区政府意见修改完善方案，并视需求召开专家评审会。</w:t>
      </w:r>
    </w:p>
    <w:p>
      <w:pPr>
        <w:widowControl/>
        <w:spacing w:line="24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（二）第三阶段：3个月，终期成果阶段</w:t>
      </w:r>
    </w:p>
    <w:p>
      <w:pPr>
        <w:widowControl/>
        <w:spacing w:line="24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根据区职能部门、镇街、专家等意见修改完善形成终期成果。终期成果由采购人负责对成果进行技术审查和验收。</w:t>
      </w:r>
    </w:p>
    <w:p>
      <w:pPr>
        <w:spacing w:line="240" w:lineRule="auto"/>
        <w:rPr>
          <w:rFonts w:hint="eastAsia" w:asciiTheme="minorEastAsia" w:hAnsiTheme="minorEastAsia" w:eastAsiaTheme="minorEastAsia" w:cstheme="minorEastAsia"/>
          <w:sz w:val="24"/>
          <w:szCs w:val="24"/>
        </w:rPr>
      </w:pPr>
    </w:p>
    <w:p>
      <w:pPr>
        <w:keepNext/>
        <w:keepLines/>
        <w:spacing w:before="260" w:after="260" w:line="240" w:lineRule="auto"/>
        <w:jc w:val="center"/>
        <w:outlineLvl w:val="0"/>
        <w:rPr>
          <w:rFonts w:hint="eastAsia" w:asciiTheme="minorEastAsia" w:hAnsiTheme="minorEastAsia" w:eastAsiaTheme="minorEastAsia" w:cstheme="minorEastAsia"/>
          <w:b/>
          <w:bCs/>
          <w:sz w:val="24"/>
          <w:szCs w:val="24"/>
        </w:rPr>
      </w:pPr>
      <w:bookmarkStart w:id="26" w:name="_Toc404244117"/>
      <w:bookmarkStart w:id="27" w:name="_Toc425953000"/>
      <w:bookmarkStart w:id="28" w:name="_Toc229817046"/>
      <w:bookmarkStart w:id="29" w:name="_Toc318317007"/>
      <w:bookmarkStart w:id="30" w:name="_Toc201178447"/>
      <w:r>
        <w:rPr>
          <w:rFonts w:hint="eastAsia" w:asciiTheme="minorEastAsia" w:hAnsiTheme="minorEastAsia" w:eastAsiaTheme="minorEastAsia" w:cstheme="minorEastAsia"/>
          <w:b/>
          <w:bCs/>
          <w:sz w:val="24"/>
          <w:szCs w:val="24"/>
        </w:rPr>
        <w:t>第七章  附  则</w:t>
      </w:r>
      <w:bookmarkEnd w:id="26"/>
      <w:bookmarkEnd w:id="27"/>
      <w:bookmarkEnd w:id="28"/>
      <w:bookmarkEnd w:id="29"/>
      <w:bookmarkEnd w:id="30"/>
    </w:p>
    <w:p>
      <w:pPr>
        <w:spacing w:line="240" w:lineRule="auto"/>
        <w:ind w:left="-174" w:leftChars="-326" w:hanging="511" w:hangingChars="21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sz w:val="24"/>
          <w:szCs w:val="24"/>
        </w:rPr>
        <w:t>第十七条</w:t>
      </w:r>
      <w:r>
        <w:rPr>
          <w:rFonts w:hint="eastAsia" w:asciiTheme="minorEastAsia" w:hAnsiTheme="minorEastAsia" w:eastAsiaTheme="minorEastAsia" w:cstheme="minorEastAsia"/>
          <w:sz w:val="24"/>
          <w:szCs w:val="24"/>
        </w:rPr>
        <w:t xml:space="preserve">  本项目的规划成果署名权归广州市规划和自然资源局花都分局和承接单位共同所有，版权归广州市规划和自然资源局花都分局所有；广州市规划和自然资源局花都分局有权在规划成果审定后，通过传播、媒介、专业杂志、书刊及其它形式介绍、展示、评价本研究成果。</w:t>
      </w:r>
    </w:p>
    <w:p>
      <w:pPr>
        <w:spacing w:line="240" w:lineRule="auto"/>
        <w:ind w:left="-174" w:leftChars="-326" w:hanging="511" w:hangingChars="21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sz w:val="24"/>
          <w:szCs w:val="24"/>
        </w:rPr>
        <w:t xml:space="preserve"> 第十八条</w:t>
      </w:r>
      <w:r>
        <w:rPr>
          <w:rFonts w:hint="eastAsia" w:asciiTheme="minorEastAsia" w:hAnsiTheme="minorEastAsia" w:eastAsiaTheme="minorEastAsia" w:cstheme="minorEastAsia"/>
          <w:sz w:val="24"/>
          <w:szCs w:val="24"/>
        </w:rPr>
        <w:t xml:space="preserve">  规划成果审批实施前，未经广州市规划和自然资源局花都分局允许，任何单位和个人均无权以任何形式向社会公开展示项目成果。</w:t>
      </w:r>
    </w:p>
    <w:p>
      <w:pPr>
        <w:spacing w:line="240" w:lineRule="auto"/>
        <w:ind w:left="-172" w:leftChars="-326" w:hanging="513" w:hangingChars="21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 xml:space="preserve">        第十九条  </w:t>
      </w:r>
      <w:r>
        <w:rPr>
          <w:rFonts w:hint="eastAsia" w:asciiTheme="minorEastAsia" w:hAnsiTheme="minorEastAsia" w:eastAsiaTheme="minorEastAsia" w:cstheme="minorEastAsia"/>
          <w:sz w:val="24"/>
          <w:szCs w:val="24"/>
        </w:rPr>
        <w:t>承接单位被视为承认本任务书所有条款，并按本任务书规定的条款完成规划工作、报送规划成果。承接单位所提交的规划成果有下列情形之一的，按技术服务合同规定承担相应责任。</w:t>
      </w:r>
    </w:p>
    <w:p>
      <w:pPr>
        <w:tabs>
          <w:tab w:val="left" w:pos="426"/>
          <w:tab w:val="left" w:pos="709"/>
        </w:tabs>
        <w:spacing w:line="240" w:lineRule="auto"/>
        <w:ind w:left="-174" w:leftChars="-326" w:hanging="511" w:hangingChars="21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1．提交的规划成果不符合本任务书规定的；</w:t>
      </w:r>
    </w:p>
    <w:p>
      <w:pPr>
        <w:spacing w:line="240" w:lineRule="auto"/>
        <w:ind w:left="-174" w:leftChars="-326" w:hanging="511" w:hangingChars="21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2. 提交的规划成果图纸和文字辨认不清，内容不全或粗制滥造的；</w:t>
      </w:r>
    </w:p>
    <w:p>
      <w:pPr>
        <w:spacing w:line="240" w:lineRule="auto"/>
        <w:ind w:left="-174" w:leftChars="-326" w:hanging="511" w:hangingChars="21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3. 未经委托单位、组织编制单位同意逾期上报规划成果的。</w:t>
      </w:r>
    </w:p>
    <w:p>
      <w:pPr>
        <w:spacing w:line="240" w:lineRule="auto"/>
        <w:ind w:left="-174" w:leftChars="-326" w:hanging="511" w:hangingChars="21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4.未填写完整的设计单位图签，未盖有承接单位公章。</w:t>
      </w:r>
    </w:p>
    <w:p>
      <w:pPr>
        <w:spacing w:line="240" w:lineRule="auto"/>
        <w:ind w:left="-174" w:leftChars="-326" w:hanging="511" w:hangingChars="21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sz w:val="24"/>
          <w:szCs w:val="24"/>
        </w:rPr>
        <w:t xml:space="preserve">    第二十条  </w:t>
      </w:r>
      <w:r>
        <w:rPr>
          <w:rFonts w:hint="eastAsia" w:asciiTheme="minorEastAsia" w:hAnsiTheme="minorEastAsia" w:eastAsiaTheme="minorEastAsia" w:cstheme="minorEastAsia"/>
          <w:sz w:val="24"/>
          <w:szCs w:val="24"/>
        </w:rPr>
        <w:t>承接单位在编制工作中必须强化保密责任意识，数据储存、保管、使用必须遵守国家、省、市管理部门关于数据（信息）保密的有关法规、规定，确保数据的安全性、保密性。</w:t>
      </w:r>
    </w:p>
    <w:p>
      <w:pPr>
        <w:spacing w:line="240" w:lineRule="auto"/>
        <w:ind w:left="-174" w:leftChars="-326" w:hanging="511" w:hangingChars="21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sz w:val="24"/>
          <w:szCs w:val="24"/>
        </w:rPr>
        <w:t>第二十一条</w:t>
      </w:r>
      <w:r>
        <w:rPr>
          <w:rFonts w:hint="eastAsia" w:asciiTheme="minorEastAsia" w:hAnsiTheme="minorEastAsia" w:eastAsiaTheme="minorEastAsia" w:cstheme="minorEastAsia"/>
          <w:sz w:val="24"/>
          <w:szCs w:val="24"/>
        </w:rPr>
        <w:t xml:space="preserve">  本任务书解释权归广州市规划和自然资源局花都</w:t>
      </w:r>
      <w:r>
        <w:rPr>
          <w:rFonts w:hint="eastAsia" w:asciiTheme="minorEastAsia" w:hAnsiTheme="minorEastAsia" w:eastAsiaTheme="minorEastAsia" w:cstheme="minorEastAsia"/>
          <w:sz w:val="24"/>
          <w:szCs w:val="24"/>
          <w:lang w:val="en-US" w:eastAsia="zh-CN"/>
        </w:rPr>
        <w:t>区</w:t>
      </w:r>
      <w:r>
        <w:rPr>
          <w:rFonts w:hint="eastAsia" w:asciiTheme="minorEastAsia" w:hAnsiTheme="minorEastAsia" w:eastAsiaTheme="minorEastAsia" w:cstheme="minorEastAsia"/>
          <w:sz w:val="24"/>
          <w:szCs w:val="24"/>
        </w:rPr>
        <w:t>分局所有。</w:t>
      </w:r>
    </w:p>
    <w:bookmarkEnd w:id="20"/>
    <w:bookmarkEnd w:id="21"/>
    <w:p>
      <w:pPr>
        <w:pStyle w:val="8"/>
        <w:spacing w:line="240" w:lineRule="auto"/>
        <w:ind w:left="0" w:firstLine="480" w:firstLineChars="200"/>
        <w:jc w:val="both"/>
        <w:rPr>
          <w:rFonts w:hint="eastAsia" w:asciiTheme="minorEastAsia" w:hAnsiTheme="minorEastAsia" w:eastAsiaTheme="minorEastAsia" w:cstheme="minorEastAsia"/>
          <w:kern w:val="2"/>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IDFont+F2">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230B73"/>
    <w:multiLevelType w:val="multilevel"/>
    <w:tmpl w:val="6A230B73"/>
    <w:lvl w:ilvl="0" w:tentative="0">
      <w:start w:val="1"/>
      <w:numFmt w:val="japaneseCounting"/>
      <w:lvlText w:val="（%1）"/>
      <w:lvlJc w:val="left"/>
      <w:pPr>
        <w:ind w:left="1723" w:hanging="108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8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c2ZTE2NGJmMGRjNTQzYTczY2Y0NjU5ZGIzZGI0NDgifQ=="/>
  </w:docVars>
  <w:rsids>
    <w:rsidRoot w:val="00396FE1"/>
    <w:rsid w:val="0002124B"/>
    <w:rsid w:val="000800B2"/>
    <w:rsid w:val="000F402F"/>
    <w:rsid w:val="00134BAF"/>
    <w:rsid w:val="00170AAE"/>
    <w:rsid w:val="001863EA"/>
    <w:rsid w:val="001A5BE6"/>
    <w:rsid w:val="001E6247"/>
    <w:rsid w:val="001F58A7"/>
    <w:rsid w:val="001F5E47"/>
    <w:rsid w:val="00225871"/>
    <w:rsid w:val="002474C9"/>
    <w:rsid w:val="0026509B"/>
    <w:rsid w:val="003232EC"/>
    <w:rsid w:val="00324B68"/>
    <w:rsid w:val="00332137"/>
    <w:rsid w:val="0035494A"/>
    <w:rsid w:val="00395C96"/>
    <w:rsid w:val="00396FE1"/>
    <w:rsid w:val="003B7027"/>
    <w:rsid w:val="003C5FFE"/>
    <w:rsid w:val="003D4884"/>
    <w:rsid w:val="003F7AA5"/>
    <w:rsid w:val="004877B8"/>
    <w:rsid w:val="004D27DC"/>
    <w:rsid w:val="004E7B2C"/>
    <w:rsid w:val="004F7688"/>
    <w:rsid w:val="00526697"/>
    <w:rsid w:val="0056051D"/>
    <w:rsid w:val="005C7F24"/>
    <w:rsid w:val="005F30B9"/>
    <w:rsid w:val="006A5180"/>
    <w:rsid w:val="006C3033"/>
    <w:rsid w:val="006F1180"/>
    <w:rsid w:val="00727174"/>
    <w:rsid w:val="007743DA"/>
    <w:rsid w:val="007824A0"/>
    <w:rsid w:val="007A30F0"/>
    <w:rsid w:val="0084291E"/>
    <w:rsid w:val="00850207"/>
    <w:rsid w:val="00892578"/>
    <w:rsid w:val="00900737"/>
    <w:rsid w:val="0097764D"/>
    <w:rsid w:val="009872C4"/>
    <w:rsid w:val="009B4D35"/>
    <w:rsid w:val="009D29B0"/>
    <w:rsid w:val="00A41F24"/>
    <w:rsid w:val="00AD0400"/>
    <w:rsid w:val="00AE22B6"/>
    <w:rsid w:val="00B32A13"/>
    <w:rsid w:val="00B33D8E"/>
    <w:rsid w:val="00B448D7"/>
    <w:rsid w:val="00B46D3C"/>
    <w:rsid w:val="00B55796"/>
    <w:rsid w:val="00B87EB8"/>
    <w:rsid w:val="00BF7842"/>
    <w:rsid w:val="00C40D8B"/>
    <w:rsid w:val="00C6107B"/>
    <w:rsid w:val="00C620B1"/>
    <w:rsid w:val="00CA71C8"/>
    <w:rsid w:val="00D3566C"/>
    <w:rsid w:val="00D61CBB"/>
    <w:rsid w:val="00D973C9"/>
    <w:rsid w:val="00DB47CE"/>
    <w:rsid w:val="00DC2FB5"/>
    <w:rsid w:val="00DD4D6E"/>
    <w:rsid w:val="00DE6B3C"/>
    <w:rsid w:val="00E03A02"/>
    <w:rsid w:val="00E152EC"/>
    <w:rsid w:val="00E45DB6"/>
    <w:rsid w:val="00E45E70"/>
    <w:rsid w:val="00E8665F"/>
    <w:rsid w:val="00F07BF4"/>
    <w:rsid w:val="00F32E7C"/>
    <w:rsid w:val="00F46B6F"/>
    <w:rsid w:val="00F47A9B"/>
    <w:rsid w:val="00F55CB3"/>
    <w:rsid w:val="00F77851"/>
    <w:rsid w:val="00F86AE6"/>
    <w:rsid w:val="00F918AB"/>
    <w:rsid w:val="5F7D5FEA"/>
    <w:rsid w:val="65BD71CF"/>
    <w:rsid w:val="6BC14412"/>
    <w:rsid w:val="784003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jc w:val="center"/>
      <w:outlineLvl w:val="0"/>
    </w:pPr>
    <w:rPr>
      <w:rFonts w:ascii="Times New Roman" w:hAnsi="Times New Roman" w:eastAsia="宋体" w:cs="Times New Roman"/>
      <w:kern w:val="44"/>
      <w:sz w:val="44"/>
      <w:szCs w:val="4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6"/>
    <w:semiHidden/>
    <w:unhideWhenUsed/>
    <w:qFormat/>
    <w:uiPriority w:val="99"/>
    <w:pPr>
      <w:ind w:left="100" w:leftChars="2500"/>
    </w:pPr>
  </w:style>
  <w:style w:type="paragraph" w:styleId="4">
    <w:name w:val="Balloon Text"/>
    <w:basedOn w:val="1"/>
    <w:link w:val="13"/>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spacing w:after="100" w:line="259" w:lineRule="auto"/>
      <w:ind w:left="300" w:hanging="300" w:hangingChars="300"/>
      <w:jc w:val="left"/>
    </w:pPr>
    <w:rPr>
      <w:rFonts w:cs="Times New Roman"/>
      <w:kern w:val="0"/>
      <w:sz w:val="22"/>
    </w:rPr>
  </w:style>
  <w:style w:type="paragraph" w:styleId="8">
    <w:name w:val="Normal (Web)"/>
    <w:basedOn w:val="1"/>
    <w:unhideWhenUsed/>
    <w:qFormat/>
    <w:uiPriority w:val="99"/>
    <w:pPr>
      <w:widowControl/>
      <w:spacing w:before="100" w:beforeAutospacing="1" w:after="100" w:afterAutospacing="1"/>
      <w:ind w:left="300" w:hanging="300" w:hangingChars="300"/>
      <w:jc w:val="left"/>
    </w:pPr>
    <w:rPr>
      <w:rFonts w:ascii="宋体" w:hAnsi="宋体" w:eastAsia="宋体" w:cs="宋体"/>
      <w:kern w:val="0"/>
      <w:sz w:val="24"/>
      <w:szCs w:val="24"/>
    </w:r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paragraph" w:styleId="12">
    <w:name w:val="List Paragraph"/>
    <w:basedOn w:val="1"/>
    <w:qFormat/>
    <w:uiPriority w:val="34"/>
    <w:pPr>
      <w:ind w:firstLine="420" w:firstLineChars="200"/>
    </w:pPr>
  </w:style>
  <w:style w:type="character" w:customStyle="1" w:styleId="13">
    <w:name w:val="批注框文本 字符"/>
    <w:basedOn w:val="10"/>
    <w:link w:val="4"/>
    <w:semiHidden/>
    <w:qFormat/>
    <w:uiPriority w:val="99"/>
    <w:rPr>
      <w:sz w:val="18"/>
      <w:szCs w:val="18"/>
    </w:rPr>
  </w:style>
  <w:style w:type="character" w:customStyle="1" w:styleId="14">
    <w:name w:val="页眉 字符"/>
    <w:basedOn w:val="10"/>
    <w:link w:val="6"/>
    <w:qFormat/>
    <w:uiPriority w:val="99"/>
    <w:rPr>
      <w:sz w:val="18"/>
      <w:szCs w:val="18"/>
    </w:rPr>
  </w:style>
  <w:style w:type="character" w:customStyle="1" w:styleId="15">
    <w:name w:val="页脚 字符"/>
    <w:basedOn w:val="10"/>
    <w:link w:val="5"/>
    <w:qFormat/>
    <w:uiPriority w:val="99"/>
    <w:rPr>
      <w:sz w:val="18"/>
      <w:szCs w:val="18"/>
    </w:rPr>
  </w:style>
  <w:style w:type="character" w:customStyle="1" w:styleId="16">
    <w:name w:val="日期 字符"/>
    <w:basedOn w:val="10"/>
    <w:link w:val="3"/>
    <w:semiHidden/>
    <w:qFormat/>
    <w:uiPriority w:val="99"/>
  </w:style>
  <w:style w:type="character" w:customStyle="1" w:styleId="17">
    <w:name w:val="fontstyle01"/>
    <w:basedOn w:val="10"/>
    <w:qFormat/>
    <w:uiPriority w:val="0"/>
    <w:rPr>
      <w:rFonts w:hint="default" w:ascii="CIDFont+F2" w:hAnsi="CIDFont+F2"/>
      <w:color w:val="000000"/>
      <w:sz w:val="24"/>
      <w:szCs w:val="24"/>
    </w:rPr>
  </w:style>
  <w:style w:type="paragraph" w:customStyle="1" w:styleId="18">
    <w:name w:val="正文 A"/>
    <w:qFormat/>
    <w:uiPriority w:val="99"/>
    <w:pPr>
      <w:widowControl w:val="0"/>
      <w:jc w:val="both"/>
    </w:pPr>
    <w:rPr>
      <w:rFonts w:ascii="Times New Roman" w:hAnsi="Times New Roman" w:eastAsia="宋体" w:cs="Arial Unicode MS"/>
      <w:color w:val="000000"/>
      <w:kern w:val="2"/>
      <w:sz w:val="21"/>
      <w:szCs w:val="21"/>
      <w:u w:color="000000"/>
      <w:lang w:val="en-US" w:eastAsia="zh-CN" w:bidi="ar-SA"/>
    </w:rPr>
  </w:style>
  <w:style w:type="paragraph" w:customStyle="1" w:styleId="19">
    <w:name w:val="表格文字"/>
    <w:basedOn w:val="1"/>
    <w:next w:val="1"/>
    <w:qFormat/>
    <w:uiPriority w:val="0"/>
    <w:pPr>
      <w:autoSpaceDE w:val="0"/>
      <w:autoSpaceDN w:val="0"/>
      <w:spacing w:before="25" w:after="25"/>
      <w:jc w:val="left"/>
    </w:pPr>
    <w:rPr>
      <w:rFonts w:ascii="Times New Roman" w:hAnsi="Times New Roman" w:eastAsia="宋体" w:cs="Times New Roman"/>
      <w:bCs/>
      <w:spacing w:val="10"/>
      <w:kern w:val="0"/>
      <w:sz w:val="24"/>
      <w:szCs w:val="20"/>
      <w:lang w:val="zh-CN" w:bidi="zh-CN"/>
    </w:rPr>
  </w:style>
  <w:style w:type="paragraph" w:customStyle="1" w:styleId="20">
    <w:name w:val="TOC 标题1"/>
    <w:basedOn w:val="2"/>
    <w:next w:val="1"/>
    <w:qFormat/>
    <w:uiPriority w:val="39"/>
    <w:pPr>
      <w:widowControl/>
      <w:spacing w:before="240" w:after="0" w:line="256" w:lineRule="auto"/>
      <w:ind w:left="300" w:hanging="300" w:hangingChars="300"/>
      <w:jc w:val="left"/>
      <w:outlineLvl w:val="9"/>
    </w:pPr>
    <w:rPr>
      <w:rFonts w:asciiTheme="majorHAnsi" w:hAnsiTheme="majorHAnsi" w:eastAsiaTheme="majorEastAsia" w:cstheme="majorBidi"/>
      <w:color w:val="2E75B6" w:themeColor="accent1" w:themeShade="BF"/>
      <w:kern w:val="0"/>
      <w:sz w:val="32"/>
      <w:szCs w:val="32"/>
    </w:rPr>
  </w:style>
  <w:style w:type="character" w:customStyle="1" w:styleId="21">
    <w:name w:val="标题 1 字符"/>
    <w:basedOn w:val="10"/>
    <w:link w:val="2"/>
    <w:qFormat/>
    <w:uiPriority w:val="9"/>
    <w:rPr>
      <w:kern w:val="44"/>
      <w:sz w:val="44"/>
      <w:szCs w:val="4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3297</Words>
  <Characters>3356</Characters>
  <Lines>29</Lines>
  <Paragraphs>8</Paragraphs>
  <TotalTime>2</TotalTime>
  <ScaleCrop>false</ScaleCrop>
  <LinksUpToDate>false</LinksUpToDate>
  <CharactersWithSpaces>3575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2025-06-12T07:38:00Z</dcterms:created>
  <dc:creator>XJH</dc:creator>
  <cp:lastModifiedBy>15773</cp:lastModifiedBy>
  <cp:lastPrinted>2025-06-18T15:18:00Z</cp:lastPrinted>
  <dcterms:modified xsi:type="dcterms:W3CDTF">2025-07-31T06:20:17Z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A95F7E688D4C43048B00CCA885025981</vt:lpwstr>
  </property>
  <property fmtid="{D5CDD505-2E9C-101B-9397-08002B2CF9AE}" pid="4" name="KSOTemplateDocerSaveRecord">
    <vt:lpwstr>eyJoZGlkIjoiMDFiOGQzMmY3ZWYyZWMyMjhkYjFkYWIyMDBlZTdjNGUiLCJ1c2VySWQiOiIxMDI2MzU0NDUwIn0=</vt:lpwstr>
  </property>
</Properties>
</file>