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CEA016">
      <w:pPr>
        <w:jc w:val="left"/>
        <w:rPr>
          <w:rFonts w:hint="default" w:ascii="宋体" w:hAnsi="宋体" w:eastAsia="宋体"/>
          <w:b/>
          <w:sz w:val="28"/>
          <w:highlight w:val="none"/>
          <w:lang w:val="en-US" w:eastAsia="zh-CN"/>
        </w:rPr>
      </w:pPr>
      <w:r>
        <w:rPr>
          <w:rFonts w:hint="eastAsia" w:ascii="宋体" w:hAnsi="宋体" w:eastAsia="宋体"/>
          <w:b/>
          <w:sz w:val="28"/>
          <w:highlight w:val="none"/>
          <w:lang w:val="en-US" w:eastAsia="zh-CN"/>
        </w:rPr>
        <w:t>附件2：</w:t>
      </w:r>
    </w:p>
    <w:p w14:paraId="09FBBE64">
      <w:pPr>
        <w:jc w:val="center"/>
        <w:rPr>
          <w:rFonts w:hint="eastAsia" w:ascii="宋体" w:hAnsi="宋体" w:eastAsia="宋体"/>
          <w:b/>
          <w:sz w:val="28"/>
          <w:highlight w:val="none"/>
          <w:lang w:val="en-US" w:eastAsia="zh-CN"/>
        </w:rPr>
      </w:pPr>
      <w:r>
        <w:rPr>
          <w:rFonts w:hint="eastAsia" w:ascii="宋体" w:hAnsi="宋体" w:eastAsia="宋体"/>
          <w:b/>
          <w:sz w:val="28"/>
          <w:highlight w:val="none"/>
          <w:lang w:val="en-US" w:eastAsia="zh-CN"/>
        </w:rPr>
        <w:t>花都区2026-2027年度政府储备用地控制性详细规划调整项目</w:t>
      </w:r>
    </w:p>
    <w:p w14:paraId="1AC491E5">
      <w:pPr>
        <w:jc w:val="center"/>
        <w:rPr>
          <w:rFonts w:ascii="宋体" w:hAnsi="宋体" w:eastAsia="宋体"/>
          <w:b/>
          <w:sz w:val="28"/>
          <w:highlight w:val="none"/>
        </w:rPr>
      </w:pPr>
      <w:r>
        <w:rPr>
          <w:rFonts w:hint="eastAsia" w:ascii="宋体" w:hAnsi="宋体" w:eastAsia="宋体"/>
          <w:b/>
          <w:sz w:val="28"/>
          <w:highlight w:val="none"/>
        </w:rPr>
        <w:t>采购</w:t>
      </w:r>
      <w:r>
        <w:rPr>
          <w:rFonts w:ascii="宋体" w:hAnsi="宋体" w:eastAsia="宋体"/>
          <w:b/>
          <w:sz w:val="28"/>
          <w:highlight w:val="none"/>
        </w:rPr>
        <w:t>需求</w:t>
      </w:r>
      <w:r>
        <w:rPr>
          <w:rFonts w:hint="eastAsia" w:ascii="宋体" w:hAnsi="宋体" w:eastAsia="宋体"/>
          <w:b/>
          <w:sz w:val="28"/>
          <w:highlight w:val="none"/>
        </w:rPr>
        <w:t>问卷</w:t>
      </w:r>
      <w:r>
        <w:rPr>
          <w:rFonts w:ascii="宋体" w:hAnsi="宋体" w:eastAsia="宋体"/>
          <w:b/>
          <w:sz w:val="28"/>
          <w:highlight w:val="none"/>
        </w:rPr>
        <w:t>调查表</w:t>
      </w:r>
    </w:p>
    <w:p w14:paraId="1662B98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ascii="宋体" w:hAnsi="宋体" w:eastAsia="宋体" w:cs="宋体"/>
          <w:b/>
          <w:color w:val="auto"/>
          <w:sz w:val="24"/>
          <w:highlight w:val="none"/>
        </w:rPr>
      </w:pPr>
      <w:r>
        <w:rPr>
          <w:rFonts w:hint="eastAsia" w:ascii="宋体" w:hAnsi="宋体" w:eastAsia="宋体" w:cs="宋体"/>
          <w:b/>
          <w:color w:val="auto"/>
          <w:sz w:val="24"/>
          <w:highlight w:val="none"/>
          <w:lang w:eastAsia="zh-CN"/>
        </w:rPr>
        <w:t>一、</w:t>
      </w:r>
      <w:r>
        <w:rPr>
          <w:rFonts w:hint="eastAsia" w:ascii="宋体" w:hAnsi="宋体" w:eastAsia="宋体" w:cs="宋体"/>
          <w:b/>
          <w:color w:val="auto"/>
          <w:sz w:val="24"/>
          <w:highlight w:val="none"/>
        </w:rPr>
        <w:t>接受需求调查的市场主体基本情况</w:t>
      </w:r>
    </w:p>
    <w:tbl>
      <w:tblPr>
        <w:tblStyle w:val="14"/>
        <w:tblW w:w="9099" w:type="dxa"/>
        <w:jc w:val="center"/>
        <w:tblLayout w:type="fixed"/>
        <w:tblCellMar>
          <w:top w:w="0" w:type="dxa"/>
          <w:left w:w="0" w:type="dxa"/>
          <w:bottom w:w="0" w:type="dxa"/>
          <w:right w:w="0" w:type="dxa"/>
        </w:tblCellMar>
      </w:tblPr>
      <w:tblGrid>
        <w:gridCol w:w="2469"/>
        <w:gridCol w:w="971"/>
        <w:gridCol w:w="2427"/>
        <w:gridCol w:w="1205"/>
        <w:gridCol w:w="2027"/>
      </w:tblGrid>
      <w:tr w14:paraId="6200C25F">
        <w:tblPrEx>
          <w:tblCellMar>
            <w:top w:w="0" w:type="dxa"/>
            <w:left w:w="0" w:type="dxa"/>
            <w:bottom w:w="0" w:type="dxa"/>
            <w:right w:w="0" w:type="dxa"/>
          </w:tblCellMar>
        </w:tblPrEx>
        <w:trPr>
          <w:trHeight w:val="740" w:hRule="atLeast"/>
          <w:jc w:val="center"/>
        </w:trPr>
        <w:tc>
          <w:tcPr>
            <w:tcW w:w="2469" w:type="dxa"/>
            <w:tcBorders>
              <w:top w:val="single" w:color="000000" w:sz="4" w:space="0"/>
              <w:left w:val="single" w:color="000000" w:sz="4" w:space="0"/>
              <w:bottom w:val="single" w:color="000000" w:sz="4" w:space="0"/>
              <w:right w:val="single" w:color="000000" w:sz="4" w:space="0"/>
            </w:tcBorders>
            <w:vAlign w:val="center"/>
          </w:tcPr>
          <w:p w14:paraId="7FA0E245">
            <w:pPr>
              <w:pStyle w:val="19"/>
              <w:kinsoku w:val="0"/>
              <w:overflowPunct w:val="0"/>
              <w:spacing w:line="240" w:lineRule="auto"/>
              <w:ind w:firstLine="0" w:firstLineChars="0"/>
              <w:jc w:val="center"/>
              <w:rPr>
                <w:rFonts w:hAnsi="宋体" w:cs="Times New Roman"/>
                <w:color w:val="auto"/>
                <w:sz w:val="21"/>
                <w:szCs w:val="21"/>
                <w:highlight w:val="none"/>
              </w:rPr>
            </w:pPr>
            <w:r>
              <w:rPr>
                <w:rFonts w:hint="eastAsia" w:hAnsi="宋体"/>
                <w:color w:val="auto"/>
                <w:sz w:val="21"/>
                <w:szCs w:val="21"/>
                <w:highlight w:val="none"/>
              </w:rPr>
              <w:t>单位名称</w:t>
            </w:r>
          </w:p>
        </w:tc>
        <w:tc>
          <w:tcPr>
            <w:tcW w:w="6630" w:type="dxa"/>
            <w:gridSpan w:val="4"/>
            <w:tcBorders>
              <w:top w:val="single" w:color="000000" w:sz="4" w:space="0"/>
              <w:left w:val="single" w:color="000000" w:sz="4" w:space="0"/>
              <w:bottom w:val="single" w:color="000000" w:sz="4" w:space="0"/>
              <w:right w:val="single" w:color="000000" w:sz="4" w:space="0"/>
            </w:tcBorders>
            <w:vAlign w:val="center"/>
          </w:tcPr>
          <w:p w14:paraId="7D396127">
            <w:pPr>
              <w:jc w:val="center"/>
              <w:rPr>
                <w:rFonts w:ascii="宋体" w:hAnsi="宋体" w:eastAsia="宋体"/>
                <w:i/>
                <w:color w:val="auto"/>
                <w:szCs w:val="21"/>
                <w:highlight w:val="none"/>
              </w:rPr>
            </w:pPr>
          </w:p>
        </w:tc>
      </w:tr>
      <w:tr w14:paraId="1A957826">
        <w:tblPrEx>
          <w:tblCellMar>
            <w:top w:w="0" w:type="dxa"/>
            <w:left w:w="0" w:type="dxa"/>
            <w:bottom w:w="0" w:type="dxa"/>
            <w:right w:w="0" w:type="dxa"/>
          </w:tblCellMar>
        </w:tblPrEx>
        <w:trPr>
          <w:trHeight w:val="740" w:hRule="atLeast"/>
          <w:jc w:val="center"/>
        </w:trPr>
        <w:tc>
          <w:tcPr>
            <w:tcW w:w="2469" w:type="dxa"/>
            <w:tcBorders>
              <w:top w:val="single" w:color="000000" w:sz="4" w:space="0"/>
              <w:left w:val="single" w:color="000000" w:sz="4" w:space="0"/>
              <w:bottom w:val="single" w:color="000000" w:sz="4" w:space="0"/>
              <w:right w:val="single" w:color="000000" w:sz="4" w:space="0"/>
            </w:tcBorders>
            <w:vAlign w:val="center"/>
          </w:tcPr>
          <w:p w14:paraId="10103A57">
            <w:pPr>
              <w:pStyle w:val="19"/>
              <w:kinsoku w:val="0"/>
              <w:overflowPunct w:val="0"/>
              <w:spacing w:line="240" w:lineRule="auto"/>
              <w:ind w:firstLine="0" w:firstLineChars="0"/>
              <w:jc w:val="center"/>
              <w:rPr>
                <w:rFonts w:hAnsi="宋体" w:cs="Times New Roman"/>
                <w:color w:val="auto"/>
                <w:sz w:val="21"/>
                <w:szCs w:val="21"/>
                <w:highlight w:val="none"/>
              </w:rPr>
            </w:pPr>
            <w:r>
              <w:rPr>
                <w:rFonts w:hint="eastAsia" w:hAnsi="宋体"/>
                <w:color w:val="auto"/>
                <w:sz w:val="21"/>
                <w:szCs w:val="21"/>
                <w:highlight w:val="none"/>
              </w:rPr>
              <w:t>注册资金</w:t>
            </w:r>
          </w:p>
        </w:tc>
        <w:tc>
          <w:tcPr>
            <w:tcW w:w="3398" w:type="dxa"/>
            <w:gridSpan w:val="2"/>
            <w:tcBorders>
              <w:top w:val="single" w:color="000000" w:sz="4" w:space="0"/>
              <w:left w:val="single" w:color="000000" w:sz="4" w:space="0"/>
              <w:bottom w:val="single" w:color="000000" w:sz="4" w:space="0"/>
              <w:right w:val="single" w:color="000000" w:sz="4" w:space="0"/>
            </w:tcBorders>
            <w:vAlign w:val="center"/>
          </w:tcPr>
          <w:p w14:paraId="2F18DBF0">
            <w:pPr>
              <w:jc w:val="center"/>
              <w:rPr>
                <w:rFonts w:ascii="宋体" w:hAnsi="宋体" w:eastAsia="宋体"/>
                <w:color w:val="auto"/>
                <w:szCs w:val="21"/>
                <w:highlight w:val="none"/>
              </w:rPr>
            </w:pPr>
            <w:r>
              <w:rPr>
                <w:rFonts w:hint="eastAsia" w:ascii="宋体" w:hAnsi="宋体" w:eastAsia="宋体" w:cs="仿宋"/>
                <w:color w:val="auto"/>
                <w:sz w:val="24"/>
                <w:szCs w:val="24"/>
              </w:rPr>
              <w:t xml:space="preserve">万元 </w:t>
            </w:r>
          </w:p>
        </w:tc>
        <w:tc>
          <w:tcPr>
            <w:tcW w:w="1205" w:type="dxa"/>
            <w:tcBorders>
              <w:top w:val="single" w:color="000000" w:sz="4" w:space="0"/>
              <w:left w:val="single" w:color="000000" w:sz="4" w:space="0"/>
              <w:bottom w:val="single" w:color="000000" w:sz="4" w:space="0"/>
              <w:right w:val="single" w:color="000000" w:sz="4" w:space="0"/>
            </w:tcBorders>
            <w:vAlign w:val="center"/>
          </w:tcPr>
          <w:p w14:paraId="1E6D50C4">
            <w:pPr>
              <w:pStyle w:val="19"/>
              <w:kinsoku w:val="0"/>
              <w:overflowPunct w:val="0"/>
              <w:spacing w:line="240" w:lineRule="auto"/>
              <w:ind w:firstLine="0" w:firstLineChars="0"/>
              <w:jc w:val="center"/>
              <w:rPr>
                <w:rFonts w:hAnsi="宋体" w:cs="Times New Roman"/>
                <w:color w:val="auto"/>
                <w:sz w:val="21"/>
                <w:szCs w:val="21"/>
                <w:highlight w:val="none"/>
              </w:rPr>
            </w:pPr>
            <w:r>
              <w:rPr>
                <w:rFonts w:hint="eastAsia" w:hAnsi="宋体"/>
                <w:color w:val="auto"/>
                <w:sz w:val="21"/>
                <w:szCs w:val="21"/>
                <w:highlight w:val="none"/>
              </w:rPr>
              <w:t>成立时间</w:t>
            </w:r>
          </w:p>
        </w:tc>
        <w:tc>
          <w:tcPr>
            <w:tcW w:w="2027" w:type="dxa"/>
            <w:tcBorders>
              <w:top w:val="single" w:color="000000" w:sz="4" w:space="0"/>
              <w:left w:val="single" w:color="000000" w:sz="4" w:space="0"/>
              <w:bottom w:val="single" w:color="000000" w:sz="4" w:space="0"/>
              <w:right w:val="single" w:color="000000" w:sz="4" w:space="0"/>
            </w:tcBorders>
            <w:vAlign w:val="center"/>
          </w:tcPr>
          <w:p w14:paraId="334E82DA">
            <w:pPr>
              <w:jc w:val="center"/>
              <w:rPr>
                <w:rFonts w:ascii="宋体" w:hAnsi="宋体" w:eastAsia="宋体"/>
                <w:color w:val="auto"/>
                <w:szCs w:val="21"/>
                <w:highlight w:val="none"/>
              </w:rPr>
            </w:pPr>
            <w:r>
              <w:rPr>
                <w:rFonts w:hint="eastAsia" w:ascii="宋体" w:hAnsi="宋体" w:eastAsia="宋体" w:cs="仿宋"/>
                <w:color w:val="auto"/>
                <w:sz w:val="24"/>
                <w:szCs w:val="24"/>
              </w:rPr>
              <w:t>年</w:t>
            </w:r>
            <w:r>
              <w:rPr>
                <w:rFonts w:ascii="宋体" w:hAnsi="宋体" w:eastAsia="宋体" w:cs="仿宋"/>
                <w:color w:val="auto"/>
                <w:sz w:val="24"/>
                <w:szCs w:val="24"/>
              </w:rPr>
              <w:t xml:space="preserve">   </w:t>
            </w:r>
            <w:r>
              <w:rPr>
                <w:rFonts w:hint="eastAsia" w:ascii="宋体" w:hAnsi="宋体" w:eastAsia="宋体" w:cs="仿宋"/>
                <w:color w:val="auto"/>
                <w:sz w:val="24"/>
                <w:szCs w:val="24"/>
              </w:rPr>
              <w:t>月</w:t>
            </w:r>
            <w:r>
              <w:rPr>
                <w:rFonts w:ascii="宋体" w:hAnsi="宋体" w:eastAsia="宋体" w:cs="仿宋"/>
                <w:color w:val="auto"/>
                <w:sz w:val="24"/>
                <w:szCs w:val="24"/>
              </w:rPr>
              <w:t xml:space="preserve">  </w:t>
            </w:r>
            <w:r>
              <w:rPr>
                <w:rFonts w:hint="eastAsia" w:ascii="宋体" w:hAnsi="宋体" w:eastAsia="宋体" w:cs="仿宋"/>
                <w:color w:val="auto"/>
                <w:sz w:val="24"/>
                <w:szCs w:val="24"/>
              </w:rPr>
              <w:t>日</w:t>
            </w:r>
          </w:p>
        </w:tc>
      </w:tr>
      <w:tr w14:paraId="5C94C8D6">
        <w:tblPrEx>
          <w:tblCellMar>
            <w:top w:w="0" w:type="dxa"/>
            <w:left w:w="0" w:type="dxa"/>
            <w:bottom w:w="0" w:type="dxa"/>
            <w:right w:w="0" w:type="dxa"/>
          </w:tblCellMar>
        </w:tblPrEx>
        <w:trPr>
          <w:trHeight w:val="740" w:hRule="atLeast"/>
          <w:jc w:val="center"/>
        </w:trPr>
        <w:tc>
          <w:tcPr>
            <w:tcW w:w="2469" w:type="dxa"/>
            <w:tcBorders>
              <w:top w:val="single" w:color="000000" w:sz="4" w:space="0"/>
              <w:left w:val="single" w:color="000000" w:sz="4" w:space="0"/>
              <w:bottom w:val="single" w:color="000000" w:sz="4" w:space="0"/>
              <w:right w:val="single" w:color="000000" w:sz="4" w:space="0"/>
            </w:tcBorders>
            <w:vAlign w:val="center"/>
          </w:tcPr>
          <w:p w14:paraId="3E031723">
            <w:pPr>
              <w:pStyle w:val="19"/>
              <w:kinsoku w:val="0"/>
              <w:overflowPunct w:val="0"/>
              <w:spacing w:line="240" w:lineRule="auto"/>
              <w:ind w:firstLine="0" w:firstLineChars="0"/>
              <w:jc w:val="center"/>
              <w:rPr>
                <w:rFonts w:hAnsi="宋体" w:cs="Times New Roman"/>
                <w:color w:val="auto"/>
                <w:sz w:val="21"/>
                <w:szCs w:val="21"/>
                <w:highlight w:val="none"/>
              </w:rPr>
            </w:pPr>
            <w:r>
              <w:rPr>
                <w:rFonts w:hint="eastAsia" w:hAnsi="宋体"/>
                <w:color w:val="auto"/>
                <w:sz w:val="21"/>
                <w:szCs w:val="21"/>
                <w:highlight w:val="none"/>
              </w:rPr>
              <w:t>注册地址</w:t>
            </w:r>
          </w:p>
        </w:tc>
        <w:tc>
          <w:tcPr>
            <w:tcW w:w="6630" w:type="dxa"/>
            <w:gridSpan w:val="4"/>
            <w:tcBorders>
              <w:top w:val="single" w:color="000000" w:sz="4" w:space="0"/>
              <w:left w:val="single" w:color="000000" w:sz="4" w:space="0"/>
              <w:bottom w:val="single" w:color="000000" w:sz="4" w:space="0"/>
              <w:right w:val="single" w:color="000000" w:sz="4" w:space="0"/>
            </w:tcBorders>
            <w:vAlign w:val="center"/>
          </w:tcPr>
          <w:p w14:paraId="22C2195F">
            <w:pPr>
              <w:jc w:val="center"/>
              <w:rPr>
                <w:rFonts w:ascii="宋体" w:hAnsi="宋体" w:eastAsia="宋体"/>
                <w:color w:val="auto"/>
                <w:szCs w:val="21"/>
                <w:highlight w:val="none"/>
              </w:rPr>
            </w:pPr>
          </w:p>
        </w:tc>
      </w:tr>
      <w:tr w14:paraId="339B0817">
        <w:tblPrEx>
          <w:tblCellMar>
            <w:top w:w="0" w:type="dxa"/>
            <w:left w:w="0" w:type="dxa"/>
            <w:bottom w:w="0" w:type="dxa"/>
            <w:right w:w="0" w:type="dxa"/>
          </w:tblCellMar>
        </w:tblPrEx>
        <w:trPr>
          <w:trHeight w:val="740" w:hRule="atLeast"/>
          <w:jc w:val="center"/>
        </w:trPr>
        <w:tc>
          <w:tcPr>
            <w:tcW w:w="2469" w:type="dxa"/>
            <w:tcBorders>
              <w:top w:val="single" w:color="000000" w:sz="4" w:space="0"/>
              <w:left w:val="single" w:color="000000" w:sz="4" w:space="0"/>
              <w:bottom w:val="single" w:color="000000" w:sz="4" w:space="0"/>
              <w:right w:val="single" w:color="000000" w:sz="4" w:space="0"/>
            </w:tcBorders>
            <w:vAlign w:val="center"/>
          </w:tcPr>
          <w:p w14:paraId="21E6A64E">
            <w:pPr>
              <w:pStyle w:val="19"/>
              <w:kinsoku w:val="0"/>
              <w:overflowPunct w:val="0"/>
              <w:spacing w:line="240" w:lineRule="auto"/>
              <w:ind w:firstLine="0" w:firstLineChars="0"/>
              <w:jc w:val="center"/>
              <w:rPr>
                <w:rFonts w:hAnsi="宋体" w:cs="Times New Roman"/>
                <w:color w:val="auto"/>
                <w:sz w:val="21"/>
                <w:szCs w:val="21"/>
                <w:highlight w:val="none"/>
              </w:rPr>
            </w:pPr>
            <w:r>
              <w:rPr>
                <w:rFonts w:hint="eastAsia" w:hAnsi="宋体"/>
                <w:color w:val="auto"/>
                <w:sz w:val="21"/>
                <w:szCs w:val="21"/>
                <w:highlight w:val="none"/>
              </w:rPr>
              <w:t>邮政编码</w:t>
            </w:r>
          </w:p>
        </w:tc>
        <w:tc>
          <w:tcPr>
            <w:tcW w:w="3398" w:type="dxa"/>
            <w:gridSpan w:val="2"/>
            <w:tcBorders>
              <w:top w:val="single" w:color="000000" w:sz="4" w:space="0"/>
              <w:left w:val="single" w:color="000000" w:sz="4" w:space="0"/>
              <w:bottom w:val="single" w:color="000000" w:sz="4" w:space="0"/>
              <w:right w:val="single" w:color="000000" w:sz="4" w:space="0"/>
            </w:tcBorders>
            <w:vAlign w:val="center"/>
          </w:tcPr>
          <w:p w14:paraId="2B132DA9">
            <w:pPr>
              <w:jc w:val="center"/>
              <w:rPr>
                <w:rFonts w:ascii="宋体" w:hAnsi="宋体" w:eastAsia="宋体"/>
                <w:color w:val="auto"/>
                <w:szCs w:val="21"/>
                <w:highlight w:val="none"/>
              </w:rPr>
            </w:pPr>
          </w:p>
        </w:tc>
        <w:tc>
          <w:tcPr>
            <w:tcW w:w="1205" w:type="dxa"/>
            <w:tcBorders>
              <w:top w:val="single" w:color="000000" w:sz="4" w:space="0"/>
              <w:left w:val="single" w:color="000000" w:sz="4" w:space="0"/>
              <w:bottom w:val="single" w:color="000000" w:sz="4" w:space="0"/>
              <w:right w:val="single" w:color="000000" w:sz="4" w:space="0"/>
            </w:tcBorders>
            <w:vAlign w:val="center"/>
          </w:tcPr>
          <w:p w14:paraId="2DFE27D7">
            <w:pPr>
              <w:pStyle w:val="19"/>
              <w:kinsoku w:val="0"/>
              <w:overflowPunct w:val="0"/>
              <w:spacing w:line="240" w:lineRule="auto"/>
              <w:ind w:firstLine="0" w:firstLineChars="0"/>
              <w:jc w:val="center"/>
              <w:rPr>
                <w:rFonts w:hAnsi="宋体" w:cs="Times New Roman"/>
                <w:color w:val="auto"/>
                <w:sz w:val="21"/>
                <w:szCs w:val="21"/>
                <w:highlight w:val="none"/>
              </w:rPr>
            </w:pPr>
            <w:r>
              <w:rPr>
                <w:rFonts w:hint="eastAsia" w:hAnsi="宋体"/>
                <w:color w:val="auto"/>
                <w:sz w:val="21"/>
                <w:szCs w:val="21"/>
                <w:highlight w:val="none"/>
              </w:rPr>
              <w:t>员工总数</w:t>
            </w:r>
          </w:p>
        </w:tc>
        <w:tc>
          <w:tcPr>
            <w:tcW w:w="2027" w:type="dxa"/>
            <w:tcBorders>
              <w:top w:val="single" w:color="000000" w:sz="4" w:space="0"/>
              <w:left w:val="single" w:color="000000" w:sz="4" w:space="0"/>
              <w:bottom w:val="single" w:color="000000" w:sz="4" w:space="0"/>
              <w:right w:val="single" w:color="000000" w:sz="4" w:space="0"/>
            </w:tcBorders>
            <w:vAlign w:val="center"/>
          </w:tcPr>
          <w:p w14:paraId="4ADB381B">
            <w:pPr>
              <w:jc w:val="center"/>
              <w:rPr>
                <w:rFonts w:ascii="宋体" w:hAnsi="宋体" w:eastAsia="宋体"/>
                <w:color w:val="auto"/>
                <w:szCs w:val="21"/>
                <w:highlight w:val="none"/>
              </w:rPr>
            </w:pPr>
          </w:p>
        </w:tc>
      </w:tr>
      <w:tr w14:paraId="4C853DF6">
        <w:tblPrEx>
          <w:tblCellMar>
            <w:top w:w="0" w:type="dxa"/>
            <w:left w:w="0" w:type="dxa"/>
            <w:bottom w:w="0" w:type="dxa"/>
            <w:right w:w="0" w:type="dxa"/>
          </w:tblCellMar>
        </w:tblPrEx>
        <w:trPr>
          <w:trHeight w:val="740" w:hRule="atLeast"/>
          <w:jc w:val="center"/>
        </w:trPr>
        <w:tc>
          <w:tcPr>
            <w:tcW w:w="2469" w:type="dxa"/>
            <w:vMerge w:val="restart"/>
            <w:tcBorders>
              <w:top w:val="single" w:color="000000" w:sz="4" w:space="0"/>
              <w:left w:val="single" w:color="000000" w:sz="4" w:space="0"/>
              <w:bottom w:val="single" w:color="000000" w:sz="4" w:space="0"/>
              <w:right w:val="single" w:color="000000" w:sz="4" w:space="0"/>
            </w:tcBorders>
            <w:vAlign w:val="center"/>
          </w:tcPr>
          <w:p w14:paraId="570AA7C6">
            <w:pPr>
              <w:pStyle w:val="19"/>
              <w:kinsoku w:val="0"/>
              <w:overflowPunct w:val="0"/>
              <w:spacing w:line="240" w:lineRule="auto"/>
              <w:ind w:firstLine="0" w:firstLineChars="0"/>
              <w:jc w:val="center"/>
              <w:rPr>
                <w:rFonts w:hAnsi="宋体" w:cs="Times New Roman"/>
                <w:color w:val="auto"/>
                <w:sz w:val="21"/>
                <w:szCs w:val="21"/>
                <w:highlight w:val="none"/>
              </w:rPr>
            </w:pPr>
            <w:r>
              <w:rPr>
                <w:rFonts w:hint="eastAsia" w:hAnsi="宋体"/>
                <w:color w:val="auto"/>
                <w:sz w:val="21"/>
                <w:szCs w:val="21"/>
                <w:highlight w:val="none"/>
              </w:rPr>
              <w:t>联系方式</w:t>
            </w:r>
          </w:p>
        </w:tc>
        <w:tc>
          <w:tcPr>
            <w:tcW w:w="971" w:type="dxa"/>
            <w:tcBorders>
              <w:top w:val="single" w:color="000000" w:sz="4" w:space="0"/>
              <w:left w:val="single" w:color="000000" w:sz="4" w:space="0"/>
              <w:bottom w:val="single" w:color="000000" w:sz="4" w:space="0"/>
              <w:right w:val="single" w:color="000000" w:sz="4" w:space="0"/>
            </w:tcBorders>
            <w:vAlign w:val="center"/>
          </w:tcPr>
          <w:p w14:paraId="268FAAB3">
            <w:pPr>
              <w:pStyle w:val="19"/>
              <w:kinsoku w:val="0"/>
              <w:overflowPunct w:val="0"/>
              <w:spacing w:line="240" w:lineRule="auto"/>
              <w:ind w:firstLine="0" w:firstLineChars="0"/>
              <w:jc w:val="center"/>
              <w:rPr>
                <w:rFonts w:hAnsi="宋体" w:cs="Times New Roman"/>
                <w:color w:val="auto"/>
                <w:sz w:val="21"/>
                <w:szCs w:val="21"/>
                <w:highlight w:val="none"/>
              </w:rPr>
            </w:pPr>
            <w:r>
              <w:rPr>
                <w:rFonts w:hint="eastAsia" w:hAnsi="宋体"/>
                <w:color w:val="auto"/>
                <w:sz w:val="21"/>
                <w:szCs w:val="21"/>
                <w:highlight w:val="none"/>
              </w:rPr>
              <w:t>联系人</w:t>
            </w:r>
          </w:p>
        </w:tc>
        <w:tc>
          <w:tcPr>
            <w:tcW w:w="2427" w:type="dxa"/>
            <w:tcBorders>
              <w:top w:val="single" w:color="000000" w:sz="4" w:space="0"/>
              <w:left w:val="single" w:color="000000" w:sz="4" w:space="0"/>
              <w:bottom w:val="single" w:color="000000" w:sz="4" w:space="0"/>
              <w:right w:val="single" w:color="000000" w:sz="4" w:space="0"/>
            </w:tcBorders>
            <w:vAlign w:val="center"/>
          </w:tcPr>
          <w:p w14:paraId="7C4AD75A">
            <w:pPr>
              <w:jc w:val="center"/>
              <w:rPr>
                <w:rFonts w:ascii="宋体" w:hAnsi="宋体" w:eastAsia="宋体"/>
                <w:color w:val="auto"/>
                <w:szCs w:val="21"/>
                <w:highlight w:val="none"/>
              </w:rPr>
            </w:pPr>
          </w:p>
        </w:tc>
        <w:tc>
          <w:tcPr>
            <w:tcW w:w="1205" w:type="dxa"/>
            <w:tcBorders>
              <w:top w:val="single" w:color="000000" w:sz="4" w:space="0"/>
              <w:left w:val="single" w:color="000000" w:sz="4" w:space="0"/>
              <w:bottom w:val="single" w:color="000000" w:sz="4" w:space="0"/>
              <w:right w:val="single" w:color="000000" w:sz="4" w:space="0"/>
            </w:tcBorders>
            <w:vAlign w:val="center"/>
          </w:tcPr>
          <w:p w14:paraId="653E18C9">
            <w:pPr>
              <w:pStyle w:val="19"/>
              <w:kinsoku w:val="0"/>
              <w:overflowPunct w:val="0"/>
              <w:spacing w:line="240" w:lineRule="auto"/>
              <w:ind w:firstLine="0" w:firstLineChars="0"/>
              <w:jc w:val="center"/>
              <w:rPr>
                <w:rFonts w:hAnsi="宋体" w:cs="Times New Roman"/>
                <w:color w:val="auto"/>
                <w:sz w:val="21"/>
                <w:szCs w:val="21"/>
                <w:highlight w:val="none"/>
              </w:rPr>
            </w:pPr>
            <w:r>
              <w:rPr>
                <w:rFonts w:hint="eastAsia" w:hAnsi="宋体"/>
                <w:color w:val="auto"/>
                <w:sz w:val="21"/>
                <w:szCs w:val="21"/>
                <w:highlight w:val="none"/>
              </w:rPr>
              <w:t>电话</w:t>
            </w:r>
          </w:p>
        </w:tc>
        <w:tc>
          <w:tcPr>
            <w:tcW w:w="2027" w:type="dxa"/>
            <w:tcBorders>
              <w:top w:val="single" w:color="000000" w:sz="4" w:space="0"/>
              <w:left w:val="single" w:color="000000" w:sz="4" w:space="0"/>
              <w:bottom w:val="single" w:color="000000" w:sz="4" w:space="0"/>
              <w:right w:val="single" w:color="000000" w:sz="4" w:space="0"/>
            </w:tcBorders>
            <w:vAlign w:val="center"/>
          </w:tcPr>
          <w:p w14:paraId="5A51A292">
            <w:pPr>
              <w:jc w:val="center"/>
              <w:rPr>
                <w:rFonts w:ascii="宋体" w:hAnsi="宋体" w:eastAsia="宋体"/>
                <w:color w:val="auto"/>
                <w:szCs w:val="21"/>
                <w:highlight w:val="none"/>
              </w:rPr>
            </w:pPr>
          </w:p>
        </w:tc>
      </w:tr>
      <w:tr w14:paraId="43A8C385">
        <w:tblPrEx>
          <w:tblCellMar>
            <w:top w:w="0" w:type="dxa"/>
            <w:left w:w="0" w:type="dxa"/>
            <w:bottom w:w="0" w:type="dxa"/>
            <w:right w:w="0" w:type="dxa"/>
          </w:tblCellMar>
        </w:tblPrEx>
        <w:trPr>
          <w:trHeight w:val="741" w:hRule="atLeast"/>
          <w:jc w:val="center"/>
        </w:trPr>
        <w:tc>
          <w:tcPr>
            <w:tcW w:w="2469" w:type="dxa"/>
            <w:vMerge w:val="continue"/>
            <w:tcBorders>
              <w:top w:val="single" w:color="000000" w:sz="4" w:space="0"/>
              <w:left w:val="single" w:color="000000" w:sz="4" w:space="0"/>
              <w:bottom w:val="single" w:color="000000" w:sz="4" w:space="0"/>
              <w:right w:val="single" w:color="000000" w:sz="4" w:space="0"/>
            </w:tcBorders>
            <w:vAlign w:val="center"/>
          </w:tcPr>
          <w:p w14:paraId="0CBC33EA">
            <w:pPr>
              <w:jc w:val="center"/>
              <w:rPr>
                <w:rFonts w:ascii="宋体" w:hAnsi="宋体" w:eastAsia="宋体"/>
                <w:color w:val="auto"/>
                <w:szCs w:val="21"/>
                <w:highlight w:val="none"/>
              </w:rPr>
            </w:pPr>
          </w:p>
        </w:tc>
        <w:tc>
          <w:tcPr>
            <w:tcW w:w="971" w:type="dxa"/>
            <w:tcBorders>
              <w:top w:val="single" w:color="000000" w:sz="4" w:space="0"/>
              <w:left w:val="single" w:color="000000" w:sz="4" w:space="0"/>
              <w:bottom w:val="single" w:color="000000" w:sz="4" w:space="0"/>
              <w:right w:val="single" w:color="000000" w:sz="4" w:space="0"/>
            </w:tcBorders>
            <w:vAlign w:val="center"/>
          </w:tcPr>
          <w:p w14:paraId="690B5C7A">
            <w:pPr>
              <w:pStyle w:val="19"/>
              <w:kinsoku w:val="0"/>
              <w:overflowPunct w:val="0"/>
              <w:spacing w:line="240" w:lineRule="auto"/>
              <w:ind w:firstLine="0" w:firstLineChars="0"/>
              <w:jc w:val="center"/>
              <w:rPr>
                <w:rFonts w:hAnsi="宋体" w:cs="Times New Roman"/>
                <w:color w:val="auto"/>
                <w:sz w:val="21"/>
                <w:szCs w:val="21"/>
                <w:highlight w:val="none"/>
              </w:rPr>
            </w:pPr>
            <w:r>
              <w:rPr>
                <w:rFonts w:hint="eastAsia" w:hAnsi="宋体"/>
                <w:color w:val="auto"/>
                <w:sz w:val="21"/>
                <w:szCs w:val="21"/>
                <w:highlight w:val="none"/>
              </w:rPr>
              <w:t>网址</w:t>
            </w:r>
          </w:p>
        </w:tc>
        <w:tc>
          <w:tcPr>
            <w:tcW w:w="2427" w:type="dxa"/>
            <w:tcBorders>
              <w:top w:val="single" w:color="000000" w:sz="4" w:space="0"/>
              <w:left w:val="single" w:color="000000" w:sz="4" w:space="0"/>
              <w:bottom w:val="single" w:color="000000" w:sz="4" w:space="0"/>
              <w:right w:val="single" w:color="000000" w:sz="4" w:space="0"/>
            </w:tcBorders>
            <w:vAlign w:val="center"/>
          </w:tcPr>
          <w:p w14:paraId="729D011E">
            <w:pPr>
              <w:jc w:val="center"/>
              <w:rPr>
                <w:rFonts w:ascii="宋体" w:hAnsi="宋体" w:eastAsia="宋体"/>
                <w:color w:val="auto"/>
                <w:szCs w:val="21"/>
                <w:highlight w:val="none"/>
              </w:rPr>
            </w:pPr>
          </w:p>
        </w:tc>
        <w:tc>
          <w:tcPr>
            <w:tcW w:w="1205" w:type="dxa"/>
            <w:tcBorders>
              <w:top w:val="single" w:color="000000" w:sz="4" w:space="0"/>
              <w:left w:val="single" w:color="000000" w:sz="4" w:space="0"/>
              <w:bottom w:val="single" w:color="000000" w:sz="4" w:space="0"/>
              <w:right w:val="single" w:color="000000" w:sz="4" w:space="0"/>
            </w:tcBorders>
            <w:vAlign w:val="center"/>
          </w:tcPr>
          <w:p w14:paraId="1EC454A0">
            <w:pPr>
              <w:pStyle w:val="19"/>
              <w:kinsoku w:val="0"/>
              <w:overflowPunct w:val="0"/>
              <w:spacing w:line="240" w:lineRule="auto"/>
              <w:ind w:firstLine="0" w:firstLineChars="0"/>
              <w:jc w:val="center"/>
              <w:rPr>
                <w:rFonts w:hAnsi="宋体" w:cs="Times New Roman"/>
                <w:color w:val="auto"/>
                <w:sz w:val="21"/>
                <w:szCs w:val="21"/>
                <w:highlight w:val="none"/>
              </w:rPr>
            </w:pPr>
            <w:r>
              <w:rPr>
                <w:rFonts w:hint="eastAsia" w:ascii="宋体" w:hAnsi="宋体" w:eastAsia="宋体" w:cs="仿宋"/>
                <w:color w:val="auto"/>
              </w:rPr>
              <w:t>传真/邮箱</w:t>
            </w:r>
          </w:p>
        </w:tc>
        <w:tc>
          <w:tcPr>
            <w:tcW w:w="2027" w:type="dxa"/>
            <w:tcBorders>
              <w:top w:val="single" w:color="000000" w:sz="4" w:space="0"/>
              <w:left w:val="single" w:color="000000" w:sz="4" w:space="0"/>
              <w:bottom w:val="single" w:color="000000" w:sz="4" w:space="0"/>
              <w:right w:val="single" w:color="000000" w:sz="4" w:space="0"/>
            </w:tcBorders>
            <w:vAlign w:val="center"/>
          </w:tcPr>
          <w:p w14:paraId="3876441B">
            <w:pPr>
              <w:jc w:val="center"/>
              <w:rPr>
                <w:rFonts w:ascii="宋体" w:hAnsi="宋体" w:eastAsia="宋体"/>
                <w:color w:val="auto"/>
                <w:szCs w:val="21"/>
                <w:highlight w:val="none"/>
              </w:rPr>
            </w:pPr>
          </w:p>
        </w:tc>
      </w:tr>
      <w:tr w14:paraId="4902B7FC">
        <w:tblPrEx>
          <w:tblCellMar>
            <w:top w:w="0" w:type="dxa"/>
            <w:left w:w="0" w:type="dxa"/>
            <w:bottom w:w="0" w:type="dxa"/>
            <w:right w:w="0" w:type="dxa"/>
          </w:tblCellMar>
        </w:tblPrEx>
        <w:trPr>
          <w:trHeight w:val="1012" w:hRule="atLeast"/>
          <w:jc w:val="center"/>
        </w:trPr>
        <w:tc>
          <w:tcPr>
            <w:tcW w:w="2469" w:type="dxa"/>
            <w:tcBorders>
              <w:top w:val="single" w:color="000000" w:sz="4" w:space="0"/>
              <w:left w:val="single" w:color="000000" w:sz="4" w:space="0"/>
              <w:bottom w:val="single" w:color="000000" w:sz="4" w:space="0"/>
              <w:right w:val="single" w:color="000000" w:sz="4" w:space="0"/>
            </w:tcBorders>
            <w:vAlign w:val="center"/>
          </w:tcPr>
          <w:p w14:paraId="68F1BE3D">
            <w:pPr>
              <w:pStyle w:val="19"/>
              <w:kinsoku w:val="0"/>
              <w:overflowPunct w:val="0"/>
              <w:spacing w:line="240" w:lineRule="auto"/>
              <w:ind w:firstLine="0" w:firstLineChars="0"/>
              <w:jc w:val="center"/>
              <w:rPr>
                <w:rFonts w:hAnsi="宋体"/>
                <w:color w:val="auto"/>
                <w:sz w:val="21"/>
                <w:szCs w:val="21"/>
                <w:highlight w:val="none"/>
              </w:rPr>
            </w:pPr>
            <w:r>
              <w:rPr>
                <w:rFonts w:hint="eastAsia" w:hAnsi="宋体"/>
                <w:color w:val="auto"/>
                <w:sz w:val="21"/>
                <w:szCs w:val="21"/>
                <w:highlight w:val="none"/>
              </w:rPr>
              <w:t>法定代表人</w:t>
            </w:r>
          </w:p>
          <w:p w14:paraId="3F37863B">
            <w:pPr>
              <w:pStyle w:val="19"/>
              <w:kinsoku w:val="0"/>
              <w:overflowPunct w:val="0"/>
              <w:spacing w:line="240" w:lineRule="auto"/>
              <w:ind w:firstLine="0" w:firstLineChars="0"/>
              <w:jc w:val="center"/>
              <w:rPr>
                <w:rFonts w:hAnsi="宋体" w:cs="Times New Roman"/>
                <w:color w:val="auto"/>
                <w:sz w:val="21"/>
                <w:szCs w:val="21"/>
                <w:highlight w:val="none"/>
              </w:rPr>
            </w:pPr>
            <w:r>
              <w:rPr>
                <w:rFonts w:hint="eastAsia" w:hAnsi="宋体"/>
                <w:color w:val="auto"/>
                <w:sz w:val="21"/>
                <w:szCs w:val="21"/>
                <w:highlight w:val="none"/>
              </w:rPr>
              <w:t>（单位负责人）</w:t>
            </w:r>
          </w:p>
        </w:tc>
        <w:tc>
          <w:tcPr>
            <w:tcW w:w="971" w:type="dxa"/>
            <w:tcBorders>
              <w:top w:val="single" w:color="000000" w:sz="4" w:space="0"/>
              <w:left w:val="single" w:color="000000" w:sz="4" w:space="0"/>
              <w:bottom w:val="single" w:color="000000" w:sz="4" w:space="0"/>
              <w:right w:val="single" w:color="000000" w:sz="4" w:space="0"/>
            </w:tcBorders>
            <w:vAlign w:val="center"/>
          </w:tcPr>
          <w:p w14:paraId="75529F7C">
            <w:pPr>
              <w:pStyle w:val="19"/>
              <w:kinsoku w:val="0"/>
              <w:overflowPunct w:val="0"/>
              <w:spacing w:line="240" w:lineRule="auto"/>
              <w:ind w:firstLine="0" w:firstLineChars="0"/>
              <w:jc w:val="center"/>
              <w:rPr>
                <w:rFonts w:hAnsi="宋体" w:cs="Times New Roman"/>
                <w:color w:val="auto"/>
                <w:sz w:val="21"/>
                <w:szCs w:val="21"/>
                <w:highlight w:val="none"/>
              </w:rPr>
            </w:pPr>
            <w:r>
              <w:rPr>
                <w:rFonts w:hint="eastAsia" w:hAnsi="宋体"/>
                <w:color w:val="auto"/>
                <w:sz w:val="21"/>
                <w:szCs w:val="21"/>
                <w:highlight w:val="none"/>
              </w:rPr>
              <w:t>姓名</w:t>
            </w:r>
          </w:p>
        </w:tc>
        <w:tc>
          <w:tcPr>
            <w:tcW w:w="2427" w:type="dxa"/>
            <w:tcBorders>
              <w:top w:val="single" w:color="000000" w:sz="4" w:space="0"/>
              <w:left w:val="single" w:color="000000" w:sz="4" w:space="0"/>
              <w:bottom w:val="single" w:color="000000" w:sz="4" w:space="0"/>
              <w:right w:val="single" w:color="000000" w:sz="4" w:space="0"/>
            </w:tcBorders>
            <w:vAlign w:val="center"/>
          </w:tcPr>
          <w:p w14:paraId="1F7FDF02">
            <w:pPr>
              <w:jc w:val="center"/>
              <w:rPr>
                <w:rFonts w:ascii="宋体" w:hAnsi="宋体" w:eastAsia="宋体"/>
                <w:color w:val="auto"/>
                <w:szCs w:val="21"/>
                <w:highlight w:val="none"/>
              </w:rPr>
            </w:pPr>
          </w:p>
        </w:tc>
        <w:tc>
          <w:tcPr>
            <w:tcW w:w="1205" w:type="dxa"/>
            <w:tcBorders>
              <w:top w:val="single" w:color="000000" w:sz="4" w:space="0"/>
              <w:left w:val="single" w:color="000000" w:sz="4" w:space="0"/>
              <w:bottom w:val="single" w:color="000000" w:sz="4" w:space="0"/>
              <w:right w:val="single" w:color="000000" w:sz="4" w:space="0"/>
            </w:tcBorders>
            <w:vAlign w:val="center"/>
          </w:tcPr>
          <w:p w14:paraId="6CDBE069">
            <w:pPr>
              <w:pStyle w:val="19"/>
              <w:kinsoku w:val="0"/>
              <w:overflowPunct w:val="0"/>
              <w:spacing w:line="240" w:lineRule="auto"/>
              <w:ind w:firstLine="0" w:firstLineChars="0"/>
              <w:jc w:val="center"/>
              <w:rPr>
                <w:rFonts w:hAnsi="宋体" w:cs="Times New Roman"/>
                <w:color w:val="auto"/>
                <w:sz w:val="21"/>
                <w:szCs w:val="21"/>
                <w:highlight w:val="none"/>
              </w:rPr>
            </w:pPr>
            <w:r>
              <w:rPr>
                <w:rFonts w:hint="eastAsia" w:hAnsi="宋体"/>
                <w:color w:val="auto"/>
                <w:sz w:val="21"/>
                <w:szCs w:val="21"/>
                <w:highlight w:val="none"/>
              </w:rPr>
              <w:t>电话</w:t>
            </w:r>
          </w:p>
        </w:tc>
        <w:tc>
          <w:tcPr>
            <w:tcW w:w="2027" w:type="dxa"/>
            <w:tcBorders>
              <w:top w:val="single" w:color="000000" w:sz="4" w:space="0"/>
              <w:left w:val="single" w:color="000000" w:sz="4" w:space="0"/>
              <w:bottom w:val="single" w:color="000000" w:sz="4" w:space="0"/>
              <w:right w:val="single" w:color="000000" w:sz="4" w:space="0"/>
            </w:tcBorders>
            <w:vAlign w:val="center"/>
          </w:tcPr>
          <w:p w14:paraId="5CD6E42A">
            <w:pPr>
              <w:jc w:val="center"/>
              <w:rPr>
                <w:rFonts w:ascii="宋体" w:hAnsi="宋体" w:eastAsia="宋体"/>
                <w:color w:val="auto"/>
                <w:szCs w:val="21"/>
                <w:highlight w:val="none"/>
              </w:rPr>
            </w:pPr>
          </w:p>
        </w:tc>
      </w:tr>
      <w:tr w14:paraId="0534FC73">
        <w:tblPrEx>
          <w:tblCellMar>
            <w:top w:w="0" w:type="dxa"/>
            <w:left w:w="0" w:type="dxa"/>
            <w:bottom w:w="0" w:type="dxa"/>
            <w:right w:w="0" w:type="dxa"/>
          </w:tblCellMar>
        </w:tblPrEx>
        <w:trPr>
          <w:trHeight w:val="1994" w:hRule="atLeast"/>
          <w:jc w:val="center"/>
        </w:trPr>
        <w:tc>
          <w:tcPr>
            <w:tcW w:w="2469" w:type="dxa"/>
            <w:tcBorders>
              <w:top w:val="single" w:color="000000" w:sz="4" w:space="0"/>
              <w:left w:val="single" w:color="000000" w:sz="4" w:space="0"/>
              <w:bottom w:val="single" w:color="000000" w:sz="4" w:space="0"/>
              <w:right w:val="single" w:color="000000" w:sz="4" w:space="0"/>
            </w:tcBorders>
            <w:vAlign w:val="center"/>
          </w:tcPr>
          <w:p w14:paraId="498BC2EC">
            <w:pPr>
              <w:pStyle w:val="19"/>
              <w:kinsoku w:val="0"/>
              <w:overflowPunct w:val="0"/>
              <w:spacing w:line="240" w:lineRule="auto"/>
              <w:ind w:firstLine="0" w:firstLineChars="0"/>
              <w:jc w:val="center"/>
              <w:rPr>
                <w:rFonts w:hAnsi="宋体"/>
                <w:color w:val="auto"/>
                <w:sz w:val="21"/>
                <w:szCs w:val="21"/>
                <w:highlight w:val="none"/>
              </w:rPr>
            </w:pPr>
            <w:r>
              <w:rPr>
                <w:rFonts w:hint="eastAsia" w:hAnsi="宋体"/>
                <w:color w:val="auto"/>
                <w:sz w:val="21"/>
                <w:szCs w:val="21"/>
                <w:highlight w:val="none"/>
              </w:rPr>
              <w:t>是否属于中小微企业（根据本项目采购标的对应的中小企业划分标准所属行业）</w:t>
            </w:r>
          </w:p>
        </w:tc>
        <w:tc>
          <w:tcPr>
            <w:tcW w:w="6630" w:type="dxa"/>
            <w:gridSpan w:val="4"/>
            <w:tcBorders>
              <w:top w:val="single" w:color="000000" w:sz="4" w:space="0"/>
              <w:left w:val="single" w:color="000000" w:sz="4" w:space="0"/>
              <w:bottom w:val="single" w:color="000000" w:sz="4" w:space="0"/>
              <w:right w:val="single" w:color="000000" w:sz="4" w:space="0"/>
            </w:tcBorders>
            <w:vAlign w:val="center"/>
          </w:tcPr>
          <w:p w14:paraId="549CF824">
            <w:pPr>
              <w:pStyle w:val="19"/>
              <w:kinsoku w:val="0"/>
              <w:overflowPunct w:val="0"/>
              <w:spacing w:line="240" w:lineRule="auto"/>
              <w:ind w:firstLine="0" w:firstLineChars="0"/>
              <w:jc w:val="center"/>
              <w:rPr>
                <w:rFonts w:hint="eastAsia" w:hAnsi="宋体" w:eastAsia="宋体"/>
                <w:i w:val="0"/>
                <w:iCs/>
                <w:color w:val="auto"/>
                <w:sz w:val="21"/>
                <w:szCs w:val="21"/>
                <w:highlight w:val="none"/>
                <w:lang w:eastAsia="zh-CN"/>
              </w:rPr>
            </w:pPr>
          </w:p>
        </w:tc>
      </w:tr>
    </w:tbl>
    <w:p w14:paraId="0A18D792">
      <w:pPr>
        <w:pStyle w:val="19"/>
        <w:keepNext w:val="0"/>
        <w:keepLines w:val="0"/>
        <w:pageBreakBefore w:val="0"/>
        <w:widowControl w:val="0"/>
        <w:kinsoku w:val="0"/>
        <w:wordWrap/>
        <w:overflowPunct w:val="0"/>
        <w:topLinePunct w:val="0"/>
        <w:bidi w:val="0"/>
        <w:snapToGrid/>
        <w:spacing w:line="360" w:lineRule="auto"/>
        <w:ind w:firstLine="0" w:firstLineChars="0"/>
        <w:jc w:val="left"/>
        <w:textAlignment w:val="auto"/>
        <w:rPr>
          <w:rFonts w:hAnsi="宋体"/>
          <w:color w:val="auto"/>
          <w:sz w:val="21"/>
          <w:szCs w:val="21"/>
          <w:highlight w:val="none"/>
        </w:rPr>
      </w:pPr>
      <w:r>
        <w:rPr>
          <w:rFonts w:hint="eastAsia" w:hAnsi="宋体"/>
          <w:color w:val="auto"/>
          <w:sz w:val="21"/>
          <w:szCs w:val="21"/>
          <w:highlight w:val="none"/>
        </w:rPr>
        <w:t>（注</w:t>
      </w:r>
      <w:r>
        <w:rPr>
          <w:rFonts w:hAnsi="宋体"/>
          <w:color w:val="auto"/>
          <w:sz w:val="21"/>
          <w:szCs w:val="21"/>
          <w:highlight w:val="none"/>
        </w:rPr>
        <w:t>：</w:t>
      </w:r>
      <w:r>
        <w:rPr>
          <w:rFonts w:hint="eastAsia" w:hAnsi="宋体"/>
          <w:color w:val="auto"/>
          <w:sz w:val="21"/>
          <w:szCs w:val="21"/>
          <w:highlight w:val="none"/>
        </w:rPr>
        <w:t>供应商</w:t>
      </w:r>
      <w:r>
        <w:rPr>
          <w:rFonts w:hAnsi="宋体"/>
          <w:color w:val="auto"/>
          <w:sz w:val="21"/>
          <w:szCs w:val="21"/>
          <w:highlight w:val="none"/>
        </w:rPr>
        <w:t>可根据实际情况选填，也可以在此基础上外延增加内</w:t>
      </w:r>
      <w:r>
        <w:rPr>
          <w:rFonts w:hint="eastAsia" w:hAnsi="宋体"/>
          <w:color w:val="auto"/>
          <w:sz w:val="21"/>
          <w:szCs w:val="21"/>
          <w:highlight w:val="none"/>
        </w:rPr>
        <w:t>容）</w:t>
      </w:r>
    </w:p>
    <w:p w14:paraId="3AADF74F">
      <w:pPr>
        <w:rPr>
          <w:rFonts w:hint="eastAsia" w:ascii="宋体" w:hAnsi="宋体" w:eastAsia="宋体" w:cs="宋体"/>
          <w:b/>
          <w:color w:val="auto"/>
          <w:sz w:val="24"/>
          <w:highlight w:val="none"/>
          <w:lang w:eastAsia="zh-CN"/>
        </w:rPr>
      </w:pPr>
      <w:r>
        <w:rPr>
          <w:rFonts w:hint="eastAsia" w:ascii="宋体" w:hAnsi="宋体" w:eastAsia="宋体" w:cs="宋体"/>
          <w:b/>
          <w:color w:val="auto"/>
          <w:sz w:val="24"/>
          <w:highlight w:val="none"/>
          <w:lang w:eastAsia="zh-CN"/>
        </w:rPr>
        <w:br w:type="page"/>
      </w:r>
    </w:p>
    <w:p w14:paraId="1EFE2113">
      <w:pPr>
        <w:keepNext w:val="0"/>
        <w:keepLines w:val="0"/>
        <w:pageBreakBefore w:val="0"/>
        <w:widowControl w:val="0"/>
        <w:numPr>
          <w:ilvl w:val="0"/>
          <w:numId w:val="0"/>
        </w:numPr>
        <w:wordWrap/>
        <w:topLinePunct w:val="0"/>
        <w:bidi w:val="0"/>
        <w:snapToGrid/>
        <w:spacing w:line="360" w:lineRule="auto"/>
        <w:ind w:leftChars="0"/>
        <w:textAlignment w:val="auto"/>
        <w:rPr>
          <w:rFonts w:ascii="宋体" w:hAnsi="宋体" w:eastAsia="宋体" w:cs="宋体"/>
          <w:b/>
          <w:color w:val="auto"/>
          <w:sz w:val="24"/>
          <w:highlight w:val="lightGray"/>
        </w:rPr>
      </w:pPr>
      <w:r>
        <w:rPr>
          <w:rFonts w:hint="eastAsia" w:ascii="宋体" w:hAnsi="宋体" w:eastAsia="宋体" w:cs="宋体"/>
          <w:b/>
          <w:color w:val="auto"/>
          <w:sz w:val="24"/>
          <w:highlight w:val="none"/>
          <w:lang w:eastAsia="zh-CN"/>
        </w:rPr>
        <w:t>二、</w:t>
      </w:r>
      <w:r>
        <w:rPr>
          <w:rFonts w:hint="eastAsia" w:ascii="宋体" w:hAnsi="宋体" w:eastAsia="宋体" w:cs="宋体"/>
          <w:b/>
          <w:color w:val="auto"/>
          <w:sz w:val="24"/>
          <w:highlight w:val="none"/>
        </w:rPr>
        <w:t>采购需求反馈意见</w:t>
      </w:r>
    </w:p>
    <w:tbl>
      <w:tblPr>
        <w:tblStyle w:val="14"/>
        <w:tblW w:w="93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319"/>
        <w:gridCol w:w="981"/>
        <w:gridCol w:w="1397"/>
        <w:gridCol w:w="1397"/>
        <w:gridCol w:w="2038"/>
        <w:gridCol w:w="1181"/>
      </w:tblGrid>
      <w:tr w14:paraId="2FB81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tblHeader/>
          <w:jc w:val="center"/>
        </w:trPr>
        <w:tc>
          <w:tcPr>
            <w:tcW w:w="1006" w:type="dxa"/>
            <w:shd w:val="clear" w:color="auto" w:fill="D7D7D7" w:themeFill="background1" w:themeFillShade="D8"/>
            <w:vAlign w:val="center"/>
          </w:tcPr>
          <w:p w14:paraId="37A238DA">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调查项</w:t>
            </w:r>
          </w:p>
        </w:tc>
        <w:tc>
          <w:tcPr>
            <w:tcW w:w="8313" w:type="dxa"/>
            <w:gridSpan w:val="6"/>
            <w:shd w:val="clear" w:color="auto" w:fill="D7D7D7" w:themeFill="background1" w:themeFillShade="D8"/>
            <w:vAlign w:val="center"/>
          </w:tcPr>
          <w:p w14:paraId="23A20D12">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实际情况、对《采购项目概况》</w:t>
            </w:r>
            <w:r>
              <w:rPr>
                <w:rFonts w:hint="eastAsia" w:ascii="宋体" w:hAnsi="宋体" w:eastAsia="宋体" w:cs="宋体"/>
                <w:b/>
                <w:bCs/>
                <w:color w:val="auto"/>
                <w:sz w:val="24"/>
                <w:szCs w:val="24"/>
                <w:highlight w:val="none"/>
                <w:lang w:val="en-US" w:eastAsia="zh-CN"/>
              </w:rPr>
              <w:t>的</w:t>
            </w:r>
            <w:r>
              <w:rPr>
                <w:rFonts w:hint="eastAsia" w:ascii="宋体" w:hAnsi="宋体" w:eastAsia="宋体" w:cs="宋体"/>
                <w:b/>
                <w:bCs/>
                <w:color w:val="auto"/>
                <w:sz w:val="24"/>
                <w:szCs w:val="24"/>
                <w:highlight w:val="none"/>
              </w:rPr>
              <w:t>意见</w:t>
            </w:r>
            <w:r>
              <w:rPr>
                <w:rFonts w:hint="eastAsia" w:ascii="宋体" w:hAnsi="宋体" w:eastAsia="宋体" w:cs="宋体"/>
                <w:b/>
                <w:bCs/>
                <w:color w:val="auto"/>
                <w:sz w:val="24"/>
                <w:szCs w:val="24"/>
                <w:highlight w:val="none"/>
                <w:lang w:eastAsia="zh-CN"/>
              </w:rPr>
              <w:t>或建议等</w:t>
            </w:r>
          </w:p>
        </w:tc>
      </w:tr>
      <w:tr w14:paraId="683A7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006" w:type="dxa"/>
            <w:vMerge w:val="restart"/>
            <w:vAlign w:val="center"/>
          </w:tcPr>
          <w:p w14:paraId="2D7A5D6E">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采购标的所在产业发展情况</w:t>
            </w:r>
          </w:p>
        </w:tc>
        <w:tc>
          <w:tcPr>
            <w:tcW w:w="8313" w:type="dxa"/>
            <w:gridSpan w:val="6"/>
            <w:vAlign w:val="center"/>
          </w:tcPr>
          <w:p w14:paraId="0082B95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jc w:val="left"/>
              <w:textAlignment w:val="auto"/>
              <w:rPr>
                <w:rFonts w:hint="eastAsia" w:ascii="宋体" w:hAnsi="宋体" w:eastAsia="宋体" w:cs="宋体"/>
                <w:bCs/>
                <w:i w:val="0"/>
                <w:iCs/>
                <w:color w:val="auto"/>
                <w:sz w:val="24"/>
                <w:szCs w:val="24"/>
                <w:highlight w:val="none"/>
              </w:rPr>
            </w:pPr>
            <w:r>
              <w:rPr>
                <w:rFonts w:hint="eastAsia" w:ascii="宋体" w:hAnsi="宋体" w:eastAsia="宋体" w:cs="宋体"/>
                <w:bCs/>
                <w:i w:val="0"/>
                <w:iCs/>
                <w:color w:val="auto"/>
                <w:sz w:val="24"/>
                <w:szCs w:val="24"/>
                <w:highlight w:val="none"/>
                <w:lang w:val="en-US" w:eastAsia="zh-CN"/>
              </w:rPr>
              <w:t>1.</w:t>
            </w:r>
            <w:r>
              <w:rPr>
                <w:rFonts w:hint="eastAsia" w:ascii="宋体" w:hAnsi="宋体" w:eastAsia="宋体" w:cs="宋体"/>
                <w:bCs/>
                <w:i w:val="0"/>
                <w:iCs/>
                <w:color w:val="auto"/>
                <w:sz w:val="24"/>
                <w:szCs w:val="24"/>
                <w:highlight w:val="none"/>
              </w:rPr>
              <w:t>国内</w:t>
            </w:r>
            <w:r>
              <w:rPr>
                <w:rFonts w:hint="eastAsia" w:ascii="宋体" w:hAnsi="宋体" w:eastAsia="宋体" w:cs="宋体"/>
                <w:bCs/>
                <w:i w:val="0"/>
                <w:iCs/>
                <w:color w:val="auto"/>
                <w:sz w:val="24"/>
                <w:szCs w:val="24"/>
                <w:highlight w:val="none"/>
                <w:lang w:eastAsia="zh-CN"/>
              </w:rPr>
              <w:t>对此类项目的</w:t>
            </w:r>
            <w:r>
              <w:rPr>
                <w:rFonts w:hint="eastAsia" w:ascii="宋体" w:hAnsi="宋体" w:eastAsia="宋体" w:cs="宋体"/>
                <w:bCs/>
                <w:i w:val="0"/>
                <w:iCs/>
                <w:color w:val="auto"/>
                <w:sz w:val="24"/>
                <w:szCs w:val="24"/>
                <w:highlight w:val="none"/>
                <w:lang w:val="en-US" w:eastAsia="zh-CN"/>
              </w:rPr>
              <w:t>行业的</w:t>
            </w:r>
            <w:r>
              <w:rPr>
                <w:rFonts w:hint="eastAsia" w:ascii="宋体" w:hAnsi="宋体" w:eastAsia="宋体" w:cs="宋体"/>
                <w:bCs/>
                <w:i w:val="0"/>
                <w:iCs/>
                <w:color w:val="auto"/>
                <w:sz w:val="24"/>
                <w:szCs w:val="24"/>
                <w:highlight w:val="none"/>
                <w:lang w:eastAsia="zh-CN"/>
              </w:rPr>
              <w:t>发展历程、行业现状等</w:t>
            </w:r>
            <w:r>
              <w:rPr>
                <w:rFonts w:hint="eastAsia" w:ascii="宋体" w:hAnsi="宋体" w:eastAsia="宋体" w:cs="宋体"/>
                <w:bCs/>
                <w:i w:val="0"/>
                <w:iCs/>
                <w:color w:val="auto"/>
                <w:sz w:val="24"/>
                <w:szCs w:val="24"/>
                <w:highlight w:val="none"/>
              </w:rPr>
              <w:t>概述。</w:t>
            </w:r>
          </w:p>
        </w:tc>
      </w:tr>
      <w:tr w14:paraId="382C4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006" w:type="dxa"/>
            <w:vMerge w:val="continue"/>
            <w:vAlign w:val="center"/>
          </w:tcPr>
          <w:p w14:paraId="70C9711C">
            <w:pPr>
              <w:jc w:val="center"/>
              <w:rPr>
                <w:rFonts w:hint="eastAsia" w:ascii="宋体" w:hAnsi="宋体" w:eastAsia="宋体" w:cs="宋体"/>
                <w:b/>
                <w:bCs/>
                <w:color w:val="auto"/>
                <w:sz w:val="24"/>
                <w:szCs w:val="24"/>
                <w:highlight w:val="none"/>
              </w:rPr>
            </w:pPr>
          </w:p>
        </w:tc>
        <w:tc>
          <w:tcPr>
            <w:tcW w:w="8313" w:type="dxa"/>
            <w:gridSpan w:val="6"/>
            <w:vAlign w:val="center"/>
          </w:tcPr>
          <w:p w14:paraId="38EE157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jc w:val="left"/>
              <w:textAlignment w:val="auto"/>
              <w:rPr>
                <w:rFonts w:hint="eastAsia" w:ascii="宋体" w:hAnsi="宋体" w:eastAsia="宋体" w:cs="宋体"/>
                <w:bCs/>
                <w:i w:val="0"/>
                <w:iCs/>
                <w:color w:val="auto"/>
                <w:sz w:val="24"/>
                <w:szCs w:val="24"/>
                <w:highlight w:val="none"/>
              </w:rPr>
            </w:pPr>
            <w:r>
              <w:rPr>
                <w:rFonts w:hint="eastAsia" w:ascii="宋体" w:hAnsi="宋体" w:eastAsia="宋体" w:cs="宋体"/>
                <w:i w:val="0"/>
                <w:iCs/>
                <w:color w:val="auto"/>
                <w:sz w:val="24"/>
                <w:szCs w:val="24"/>
                <w:highlight w:val="none"/>
                <w:lang w:val="en-US" w:eastAsia="zh-CN"/>
              </w:rPr>
              <w:t>答：</w:t>
            </w:r>
          </w:p>
        </w:tc>
      </w:tr>
      <w:tr w14:paraId="195FB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006" w:type="dxa"/>
            <w:vMerge w:val="continue"/>
            <w:vAlign w:val="center"/>
          </w:tcPr>
          <w:p w14:paraId="2B194AB1">
            <w:pPr>
              <w:jc w:val="center"/>
              <w:rPr>
                <w:rFonts w:hint="eastAsia" w:ascii="宋体" w:hAnsi="宋体" w:eastAsia="宋体" w:cs="宋体"/>
                <w:b/>
                <w:bCs/>
                <w:color w:val="auto"/>
                <w:sz w:val="24"/>
                <w:szCs w:val="24"/>
                <w:highlight w:val="none"/>
              </w:rPr>
            </w:pPr>
          </w:p>
        </w:tc>
        <w:tc>
          <w:tcPr>
            <w:tcW w:w="8313" w:type="dxa"/>
            <w:gridSpan w:val="6"/>
            <w:vAlign w:val="center"/>
          </w:tcPr>
          <w:p w14:paraId="4E56629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jc w:val="left"/>
              <w:textAlignment w:val="auto"/>
              <w:rPr>
                <w:rFonts w:hint="default" w:ascii="宋体" w:hAnsi="宋体" w:eastAsia="宋体" w:cs="宋体"/>
                <w:bCs/>
                <w:i w:val="0"/>
                <w:iCs/>
                <w:color w:val="auto"/>
                <w:sz w:val="24"/>
                <w:szCs w:val="24"/>
                <w:highlight w:val="none"/>
                <w:lang w:val="en-US" w:eastAsia="zh-CN"/>
              </w:rPr>
            </w:pPr>
            <w:r>
              <w:rPr>
                <w:rFonts w:hint="eastAsia" w:ascii="宋体" w:hAnsi="宋体" w:eastAsia="宋体" w:cs="宋体"/>
                <w:bCs/>
                <w:i w:val="0"/>
                <w:iCs/>
                <w:color w:val="auto"/>
                <w:sz w:val="24"/>
                <w:szCs w:val="24"/>
                <w:highlight w:val="none"/>
                <w:lang w:val="en-US" w:eastAsia="zh-CN"/>
              </w:rPr>
              <w:t>2.</w:t>
            </w:r>
            <w:r>
              <w:rPr>
                <w:rFonts w:hint="eastAsia" w:ascii="宋体" w:hAnsi="宋体" w:eastAsia="宋体" w:cs="宋体"/>
                <w:bCs/>
                <w:i w:val="0"/>
                <w:iCs/>
                <w:color w:val="auto"/>
                <w:sz w:val="24"/>
                <w:szCs w:val="24"/>
                <w:highlight w:val="none"/>
                <w:lang w:eastAsia="zh-CN"/>
              </w:rPr>
              <w:t>此类项目</w:t>
            </w:r>
            <w:r>
              <w:rPr>
                <w:rFonts w:hint="eastAsia" w:ascii="宋体" w:hAnsi="宋体" w:eastAsia="宋体" w:cs="宋体"/>
                <w:bCs/>
                <w:i w:val="0"/>
                <w:iCs/>
                <w:color w:val="auto"/>
                <w:sz w:val="24"/>
                <w:szCs w:val="24"/>
                <w:highlight w:val="none"/>
                <w:lang w:val="en-US" w:eastAsia="zh-CN"/>
              </w:rPr>
              <w:t>可能涉及的企业资质、人员资质。</w:t>
            </w:r>
          </w:p>
        </w:tc>
      </w:tr>
      <w:tr w14:paraId="2D55C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006" w:type="dxa"/>
            <w:vMerge w:val="continue"/>
            <w:vAlign w:val="center"/>
          </w:tcPr>
          <w:p w14:paraId="77331474">
            <w:pPr>
              <w:jc w:val="center"/>
              <w:rPr>
                <w:rFonts w:hint="eastAsia" w:ascii="宋体" w:hAnsi="宋体" w:eastAsia="宋体" w:cs="宋体"/>
                <w:b/>
                <w:bCs/>
                <w:color w:val="auto"/>
                <w:sz w:val="24"/>
                <w:szCs w:val="24"/>
                <w:highlight w:val="none"/>
              </w:rPr>
            </w:pPr>
          </w:p>
        </w:tc>
        <w:tc>
          <w:tcPr>
            <w:tcW w:w="8313" w:type="dxa"/>
            <w:gridSpan w:val="6"/>
            <w:vAlign w:val="center"/>
          </w:tcPr>
          <w:p w14:paraId="3018E39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jc w:val="left"/>
              <w:textAlignment w:val="auto"/>
              <w:rPr>
                <w:rFonts w:hint="eastAsia" w:ascii="宋体" w:hAnsi="宋体" w:eastAsia="宋体" w:cs="宋体"/>
                <w:bCs/>
                <w:i w:val="0"/>
                <w:iCs/>
                <w:color w:val="auto"/>
                <w:sz w:val="24"/>
                <w:szCs w:val="24"/>
                <w:highlight w:val="none"/>
                <w:lang w:val="en-US" w:eastAsia="zh-CN"/>
              </w:rPr>
            </w:pPr>
            <w:r>
              <w:rPr>
                <w:rFonts w:hint="eastAsia" w:ascii="宋体" w:hAnsi="宋体" w:eastAsia="宋体" w:cs="宋体"/>
                <w:i w:val="0"/>
                <w:iCs/>
                <w:color w:val="auto"/>
                <w:sz w:val="24"/>
                <w:szCs w:val="24"/>
                <w:highlight w:val="none"/>
                <w:lang w:val="en-US" w:eastAsia="zh-CN"/>
              </w:rPr>
              <w:t>答：</w:t>
            </w:r>
          </w:p>
        </w:tc>
      </w:tr>
      <w:tr w14:paraId="39E9B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1006" w:type="dxa"/>
            <w:vMerge w:val="continue"/>
            <w:vAlign w:val="center"/>
          </w:tcPr>
          <w:p w14:paraId="0A83752F">
            <w:pPr>
              <w:jc w:val="center"/>
              <w:rPr>
                <w:rFonts w:hint="eastAsia" w:ascii="宋体" w:hAnsi="宋体" w:eastAsia="宋体" w:cs="宋体"/>
                <w:b/>
                <w:bCs/>
                <w:color w:val="auto"/>
                <w:sz w:val="24"/>
                <w:szCs w:val="24"/>
                <w:highlight w:val="none"/>
              </w:rPr>
            </w:pPr>
          </w:p>
        </w:tc>
        <w:tc>
          <w:tcPr>
            <w:tcW w:w="8313" w:type="dxa"/>
            <w:gridSpan w:val="6"/>
            <w:vAlign w:val="center"/>
          </w:tcPr>
          <w:p w14:paraId="03D32C0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0" w:firstLineChars="0"/>
              <w:jc w:val="left"/>
              <w:textAlignment w:val="auto"/>
              <w:rPr>
                <w:rFonts w:hint="default" w:ascii="宋体" w:hAnsi="宋体" w:eastAsia="宋体" w:cs="宋体"/>
                <w:bCs/>
                <w:i w:val="0"/>
                <w:iCs/>
                <w:color w:val="auto"/>
                <w:sz w:val="24"/>
                <w:szCs w:val="24"/>
                <w:highlight w:val="none"/>
                <w:lang w:val="en-US" w:eastAsia="zh-CN"/>
              </w:rPr>
            </w:pPr>
            <w:r>
              <w:rPr>
                <w:rFonts w:hint="eastAsia" w:ascii="宋体" w:hAnsi="宋体" w:eastAsia="宋体" w:cs="宋体"/>
                <w:bCs/>
                <w:i w:val="0"/>
                <w:iCs/>
                <w:color w:val="auto"/>
                <w:sz w:val="24"/>
                <w:szCs w:val="24"/>
                <w:highlight w:val="none"/>
                <w:lang w:val="en-US" w:eastAsia="zh-CN"/>
              </w:rPr>
              <w:t>3.</w:t>
            </w:r>
            <w:r>
              <w:rPr>
                <w:rFonts w:hint="eastAsia" w:ascii="宋体" w:hAnsi="宋体" w:eastAsia="宋体" w:cs="宋体"/>
                <w:bCs/>
                <w:i w:val="0"/>
                <w:iCs/>
                <w:color w:val="auto"/>
                <w:sz w:val="24"/>
                <w:szCs w:val="24"/>
                <w:highlight w:val="none"/>
                <w:lang w:eastAsia="zh-CN"/>
              </w:rPr>
              <w:t>此类项目涉及的相关标准和规范。</w:t>
            </w:r>
          </w:p>
        </w:tc>
      </w:tr>
      <w:tr w14:paraId="2892E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jc w:val="center"/>
        </w:trPr>
        <w:tc>
          <w:tcPr>
            <w:tcW w:w="1006" w:type="dxa"/>
            <w:vMerge w:val="continue"/>
            <w:vAlign w:val="center"/>
          </w:tcPr>
          <w:p w14:paraId="62E901B5">
            <w:pPr>
              <w:jc w:val="center"/>
              <w:rPr>
                <w:rFonts w:hint="eastAsia" w:ascii="宋体" w:hAnsi="宋体" w:eastAsia="宋体" w:cs="宋体"/>
                <w:b/>
                <w:bCs/>
                <w:color w:val="auto"/>
                <w:sz w:val="24"/>
                <w:szCs w:val="24"/>
                <w:highlight w:val="none"/>
              </w:rPr>
            </w:pPr>
          </w:p>
        </w:tc>
        <w:tc>
          <w:tcPr>
            <w:tcW w:w="8313" w:type="dxa"/>
            <w:gridSpan w:val="6"/>
            <w:vAlign w:val="top"/>
          </w:tcPr>
          <w:p w14:paraId="2B78A999">
            <w:pPr>
              <w:keepNext w:val="0"/>
              <w:keepLines w:val="0"/>
              <w:pageBreakBefore w:val="0"/>
              <w:widowControl w:val="0"/>
              <w:kinsoku/>
              <w:wordWrap/>
              <w:overflowPunct/>
              <w:topLinePunct w:val="0"/>
              <w:autoSpaceDE/>
              <w:autoSpaceDN/>
              <w:bidi w:val="0"/>
              <w:adjustRightInd/>
              <w:snapToGrid/>
              <w:spacing w:line="360" w:lineRule="auto"/>
              <w:ind w:firstLine="0" w:firstLineChars="0"/>
              <w:jc w:val="both"/>
              <w:textAlignment w:val="auto"/>
              <w:rPr>
                <w:rFonts w:hint="eastAsia" w:ascii="宋体" w:hAnsi="宋体" w:eastAsia="宋体" w:cs="宋体"/>
                <w:i w:val="0"/>
                <w:iCs/>
                <w:color w:val="auto"/>
                <w:sz w:val="24"/>
                <w:szCs w:val="24"/>
                <w:highlight w:val="none"/>
                <w:lang w:val="en-US" w:eastAsia="zh-CN"/>
              </w:rPr>
            </w:pPr>
            <w:r>
              <w:rPr>
                <w:rFonts w:hint="eastAsia" w:ascii="宋体" w:hAnsi="宋体" w:eastAsia="宋体" w:cs="宋体"/>
                <w:i w:val="0"/>
                <w:iCs/>
                <w:color w:val="auto"/>
                <w:sz w:val="24"/>
                <w:szCs w:val="24"/>
                <w:highlight w:val="none"/>
                <w:lang w:val="en-US" w:eastAsia="zh-CN"/>
              </w:rPr>
              <w:t>答：</w:t>
            </w:r>
          </w:p>
        </w:tc>
      </w:tr>
      <w:tr w14:paraId="7B473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006" w:type="dxa"/>
            <w:vMerge w:val="restart"/>
            <w:vAlign w:val="center"/>
          </w:tcPr>
          <w:p w14:paraId="03AD53AA">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市场供给情况</w:t>
            </w:r>
          </w:p>
        </w:tc>
        <w:tc>
          <w:tcPr>
            <w:tcW w:w="8313" w:type="dxa"/>
            <w:gridSpan w:val="6"/>
            <w:vAlign w:val="center"/>
          </w:tcPr>
          <w:p w14:paraId="0C0C458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color w:val="auto"/>
                <w:sz w:val="24"/>
                <w:szCs w:val="24"/>
                <w:highlight w:val="none"/>
                <w:lang w:val="en-US" w:eastAsia="zh-CN"/>
              </w:rPr>
            </w:pPr>
            <w:r>
              <w:rPr>
                <w:rFonts w:hint="eastAsia" w:ascii="宋体" w:hAnsi="宋体" w:eastAsia="宋体" w:cs="宋体"/>
                <w:i w:val="0"/>
                <w:iCs/>
                <w:color w:val="auto"/>
                <w:sz w:val="24"/>
                <w:szCs w:val="24"/>
                <w:highlight w:val="none"/>
                <w:lang w:val="en-US" w:eastAsia="zh-CN"/>
              </w:rPr>
              <w:t>1.贵单位是否为此类型项目的唯一服务商?</w:t>
            </w:r>
          </w:p>
        </w:tc>
      </w:tr>
      <w:tr w14:paraId="403E5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1006" w:type="dxa"/>
            <w:vMerge w:val="continue"/>
            <w:vAlign w:val="center"/>
          </w:tcPr>
          <w:p w14:paraId="64AD5BB8">
            <w:pPr>
              <w:jc w:val="center"/>
              <w:rPr>
                <w:rFonts w:hint="eastAsia" w:ascii="宋体" w:hAnsi="宋体" w:eastAsia="宋体" w:cs="宋体"/>
                <w:b/>
                <w:bCs/>
                <w:color w:val="auto"/>
                <w:sz w:val="24"/>
                <w:szCs w:val="24"/>
                <w:highlight w:val="none"/>
              </w:rPr>
            </w:pPr>
          </w:p>
        </w:tc>
        <w:tc>
          <w:tcPr>
            <w:tcW w:w="8313" w:type="dxa"/>
            <w:gridSpan w:val="6"/>
            <w:vAlign w:val="center"/>
          </w:tcPr>
          <w:p w14:paraId="2D24050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color w:val="auto"/>
                <w:sz w:val="24"/>
                <w:szCs w:val="24"/>
                <w:highlight w:val="none"/>
                <w:lang w:val="en-US" w:eastAsia="zh-CN"/>
              </w:rPr>
            </w:pPr>
            <w:r>
              <w:rPr>
                <w:rFonts w:hint="eastAsia" w:ascii="宋体" w:hAnsi="宋体" w:eastAsia="宋体" w:cs="宋体"/>
                <w:i w:val="0"/>
                <w:iCs/>
                <w:color w:val="auto"/>
                <w:sz w:val="24"/>
                <w:szCs w:val="24"/>
                <w:highlight w:val="none"/>
                <w:lang w:val="en-US" w:eastAsia="zh-CN"/>
              </w:rPr>
              <w:t>答：</w:t>
            </w:r>
          </w:p>
        </w:tc>
      </w:tr>
      <w:tr w14:paraId="2DE1B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1" w:hRule="atLeast"/>
          <w:jc w:val="center"/>
        </w:trPr>
        <w:tc>
          <w:tcPr>
            <w:tcW w:w="1006" w:type="dxa"/>
            <w:vMerge w:val="continue"/>
            <w:vAlign w:val="center"/>
          </w:tcPr>
          <w:p w14:paraId="05D75B5E">
            <w:pPr>
              <w:jc w:val="center"/>
              <w:rPr>
                <w:rFonts w:hint="eastAsia" w:ascii="宋体" w:hAnsi="宋体" w:eastAsia="宋体" w:cs="宋体"/>
                <w:b/>
                <w:bCs/>
                <w:color w:val="auto"/>
                <w:sz w:val="24"/>
                <w:szCs w:val="24"/>
                <w:highlight w:val="none"/>
              </w:rPr>
            </w:pPr>
          </w:p>
        </w:tc>
        <w:tc>
          <w:tcPr>
            <w:tcW w:w="8313" w:type="dxa"/>
            <w:gridSpan w:val="6"/>
            <w:vAlign w:val="center"/>
          </w:tcPr>
          <w:p w14:paraId="3AC6ABC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color w:val="auto"/>
                <w:sz w:val="24"/>
                <w:szCs w:val="24"/>
                <w:highlight w:val="none"/>
                <w:lang w:val="en-US" w:eastAsia="zh-CN"/>
              </w:rPr>
            </w:pPr>
            <w:r>
              <w:rPr>
                <w:rFonts w:hint="eastAsia" w:ascii="宋体" w:hAnsi="宋体" w:eastAsia="宋体" w:cs="宋体"/>
                <w:i w:val="0"/>
                <w:iCs/>
                <w:color w:val="auto"/>
                <w:sz w:val="24"/>
                <w:szCs w:val="24"/>
                <w:highlight w:val="none"/>
                <w:lang w:val="en-US" w:eastAsia="zh-CN"/>
              </w:rPr>
              <w:t>2.贵单位履约能力、售后服务能力</w:t>
            </w:r>
            <w:r>
              <w:rPr>
                <w:rFonts w:hint="eastAsia" w:ascii="宋体" w:hAnsi="宋体" w:eastAsia="宋体" w:cs="宋体"/>
                <w:bCs/>
                <w:i w:val="0"/>
                <w:iCs/>
                <w:color w:val="auto"/>
                <w:sz w:val="24"/>
                <w:szCs w:val="24"/>
                <w:highlight w:val="none"/>
                <w:lang w:eastAsia="zh-CN"/>
              </w:rPr>
              <w:t>等</w:t>
            </w:r>
            <w:r>
              <w:rPr>
                <w:rFonts w:hint="eastAsia" w:ascii="宋体" w:hAnsi="宋体" w:eastAsia="宋体" w:cs="宋体"/>
                <w:bCs/>
                <w:i w:val="0"/>
                <w:iCs/>
                <w:color w:val="auto"/>
                <w:sz w:val="24"/>
                <w:szCs w:val="24"/>
                <w:highlight w:val="none"/>
              </w:rPr>
              <w:t>概述</w:t>
            </w:r>
          </w:p>
        </w:tc>
      </w:tr>
      <w:tr w14:paraId="3D65C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6" w:hRule="atLeast"/>
          <w:jc w:val="center"/>
        </w:trPr>
        <w:tc>
          <w:tcPr>
            <w:tcW w:w="1006" w:type="dxa"/>
            <w:vMerge w:val="continue"/>
            <w:vAlign w:val="center"/>
          </w:tcPr>
          <w:p w14:paraId="209598D3">
            <w:pPr>
              <w:jc w:val="center"/>
              <w:rPr>
                <w:rFonts w:hint="eastAsia" w:ascii="宋体" w:hAnsi="宋体" w:eastAsia="宋体" w:cs="宋体"/>
                <w:b/>
                <w:bCs/>
                <w:color w:val="auto"/>
                <w:sz w:val="24"/>
                <w:szCs w:val="24"/>
                <w:highlight w:val="none"/>
              </w:rPr>
            </w:pPr>
          </w:p>
        </w:tc>
        <w:tc>
          <w:tcPr>
            <w:tcW w:w="8313" w:type="dxa"/>
            <w:gridSpan w:val="6"/>
            <w:vAlign w:val="center"/>
          </w:tcPr>
          <w:p w14:paraId="6C29437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color w:val="auto"/>
                <w:sz w:val="24"/>
                <w:szCs w:val="24"/>
                <w:highlight w:val="none"/>
                <w:lang w:val="en-US" w:eastAsia="zh-CN"/>
              </w:rPr>
            </w:pPr>
            <w:r>
              <w:rPr>
                <w:rFonts w:hint="eastAsia" w:ascii="宋体" w:hAnsi="宋体" w:eastAsia="宋体" w:cs="宋体"/>
                <w:i w:val="0"/>
                <w:iCs/>
                <w:color w:val="auto"/>
                <w:sz w:val="24"/>
                <w:szCs w:val="24"/>
                <w:highlight w:val="none"/>
                <w:lang w:val="en-US" w:eastAsia="zh-CN"/>
              </w:rPr>
              <w:t>答：</w:t>
            </w:r>
          </w:p>
        </w:tc>
      </w:tr>
      <w:tr w14:paraId="79779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1006" w:type="dxa"/>
            <w:vMerge w:val="continue"/>
            <w:vAlign w:val="center"/>
          </w:tcPr>
          <w:p w14:paraId="6CBD60B8">
            <w:pPr>
              <w:jc w:val="center"/>
              <w:rPr>
                <w:rFonts w:hint="eastAsia" w:ascii="宋体" w:hAnsi="宋体" w:eastAsia="宋体" w:cs="宋体"/>
                <w:b/>
                <w:bCs/>
                <w:color w:val="auto"/>
                <w:sz w:val="24"/>
                <w:szCs w:val="24"/>
                <w:highlight w:val="none"/>
              </w:rPr>
            </w:pPr>
          </w:p>
        </w:tc>
        <w:tc>
          <w:tcPr>
            <w:tcW w:w="8313" w:type="dxa"/>
            <w:gridSpan w:val="6"/>
            <w:vAlign w:val="center"/>
          </w:tcPr>
          <w:p w14:paraId="6EFA960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color w:val="auto"/>
                <w:sz w:val="24"/>
                <w:szCs w:val="24"/>
                <w:highlight w:val="none"/>
                <w:lang w:val="en-US" w:eastAsia="zh-CN"/>
              </w:rPr>
            </w:pPr>
            <w:r>
              <w:rPr>
                <w:rFonts w:hint="eastAsia" w:ascii="宋体" w:hAnsi="宋体" w:eastAsia="宋体" w:cs="宋体"/>
                <w:i w:val="0"/>
                <w:iCs/>
                <w:color w:val="auto"/>
                <w:sz w:val="24"/>
                <w:szCs w:val="24"/>
                <w:highlight w:val="none"/>
                <w:lang w:val="en-US" w:eastAsia="zh-CN"/>
              </w:rPr>
              <w:t>3.本项目采购预算是否合理？</w:t>
            </w:r>
          </w:p>
        </w:tc>
      </w:tr>
      <w:tr w14:paraId="786FD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1" w:hRule="atLeast"/>
          <w:jc w:val="center"/>
        </w:trPr>
        <w:tc>
          <w:tcPr>
            <w:tcW w:w="1006" w:type="dxa"/>
            <w:vMerge w:val="continue"/>
            <w:vAlign w:val="center"/>
          </w:tcPr>
          <w:p w14:paraId="14AF69AF">
            <w:pPr>
              <w:jc w:val="center"/>
              <w:rPr>
                <w:rFonts w:hint="eastAsia" w:ascii="宋体" w:hAnsi="宋体" w:eastAsia="宋体" w:cs="宋体"/>
                <w:b/>
                <w:bCs/>
                <w:color w:val="auto"/>
                <w:sz w:val="24"/>
                <w:szCs w:val="24"/>
                <w:highlight w:val="none"/>
              </w:rPr>
            </w:pPr>
          </w:p>
        </w:tc>
        <w:tc>
          <w:tcPr>
            <w:tcW w:w="8313" w:type="dxa"/>
            <w:gridSpan w:val="6"/>
            <w:vAlign w:val="top"/>
          </w:tcPr>
          <w:p w14:paraId="73A761E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i w:val="0"/>
                <w:iCs/>
                <w:color w:val="auto"/>
                <w:sz w:val="24"/>
                <w:szCs w:val="24"/>
                <w:highlight w:val="none"/>
                <w:u w:val="single"/>
                <w:lang w:val="en-US" w:eastAsia="zh-CN"/>
              </w:rPr>
            </w:pPr>
            <w:r>
              <w:rPr>
                <w:rFonts w:hint="eastAsia" w:ascii="宋体" w:hAnsi="宋体" w:eastAsia="宋体" w:cs="宋体"/>
                <w:i w:val="0"/>
                <w:iCs/>
                <w:color w:val="auto"/>
                <w:sz w:val="24"/>
                <w:szCs w:val="24"/>
                <w:highlight w:val="none"/>
                <w:lang w:val="en-US" w:eastAsia="zh-CN"/>
              </w:rPr>
              <w:t>答：</w:t>
            </w:r>
          </w:p>
        </w:tc>
      </w:tr>
      <w:tr w14:paraId="57756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006" w:type="dxa"/>
            <w:vMerge w:val="restart"/>
            <w:vAlign w:val="center"/>
          </w:tcPr>
          <w:p w14:paraId="375A5D30">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贵单位近</w:t>
            </w:r>
            <w:r>
              <w:rPr>
                <w:rFonts w:hint="eastAsia" w:ascii="宋体" w:hAnsi="宋体" w:eastAsia="宋体" w:cs="宋体"/>
                <w:b/>
                <w:bCs/>
                <w:color w:val="auto"/>
                <w:sz w:val="24"/>
                <w:szCs w:val="24"/>
                <w:highlight w:val="none"/>
                <w:lang w:val="en-US" w:eastAsia="zh-CN"/>
              </w:rPr>
              <w:t>3</w:t>
            </w:r>
            <w:r>
              <w:rPr>
                <w:rFonts w:hint="eastAsia" w:ascii="宋体" w:hAnsi="宋体" w:eastAsia="宋体" w:cs="宋体"/>
                <w:b/>
                <w:bCs/>
                <w:color w:val="auto"/>
                <w:sz w:val="24"/>
                <w:szCs w:val="24"/>
                <w:highlight w:val="none"/>
              </w:rPr>
              <w:t>年来同类项目历史成交情况</w:t>
            </w:r>
          </w:p>
        </w:tc>
        <w:tc>
          <w:tcPr>
            <w:tcW w:w="1319" w:type="dxa"/>
            <w:vAlign w:val="center"/>
          </w:tcPr>
          <w:p w14:paraId="3D00CD19">
            <w:pPr>
              <w:jc w:val="center"/>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rPr>
              <w:t>合同履行时间</w:t>
            </w:r>
          </w:p>
        </w:tc>
        <w:tc>
          <w:tcPr>
            <w:tcW w:w="981" w:type="dxa"/>
            <w:vAlign w:val="center"/>
          </w:tcPr>
          <w:p w14:paraId="13ACDA6B">
            <w:pPr>
              <w:jc w:val="center"/>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rPr>
              <w:t>采购人</w:t>
            </w:r>
          </w:p>
        </w:tc>
        <w:tc>
          <w:tcPr>
            <w:tcW w:w="1397" w:type="dxa"/>
            <w:vAlign w:val="center"/>
          </w:tcPr>
          <w:p w14:paraId="6B52B568">
            <w:pPr>
              <w:jc w:val="center"/>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rPr>
              <w:t>合同项目名称</w:t>
            </w:r>
          </w:p>
        </w:tc>
        <w:tc>
          <w:tcPr>
            <w:tcW w:w="1397" w:type="dxa"/>
            <w:vAlign w:val="center"/>
          </w:tcPr>
          <w:p w14:paraId="7A8B9B66">
            <w:pPr>
              <w:jc w:val="center"/>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rPr>
              <w:t>合同项目预算</w:t>
            </w:r>
          </w:p>
        </w:tc>
        <w:tc>
          <w:tcPr>
            <w:tcW w:w="2038" w:type="dxa"/>
            <w:vAlign w:val="center"/>
          </w:tcPr>
          <w:p w14:paraId="1A18620C">
            <w:pPr>
              <w:jc w:val="center"/>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rPr>
              <w:t>合同主要标的名称</w:t>
            </w:r>
          </w:p>
        </w:tc>
        <w:tc>
          <w:tcPr>
            <w:tcW w:w="1181" w:type="dxa"/>
            <w:vAlign w:val="center"/>
          </w:tcPr>
          <w:p w14:paraId="1E142F61">
            <w:pPr>
              <w:jc w:val="center"/>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rPr>
              <w:t>合同价</w:t>
            </w:r>
          </w:p>
          <w:p w14:paraId="161640BA">
            <w:pPr>
              <w:jc w:val="center"/>
              <w:rPr>
                <w:rFonts w:hint="eastAsia" w:ascii="宋体" w:hAnsi="宋体" w:eastAsia="宋体" w:cs="宋体"/>
                <w:i w:val="0"/>
                <w:iCs/>
                <w:color w:val="auto"/>
                <w:sz w:val="24"/>
                <w:szCs w:val="24"/>
                <w:highlight w:val="none"/>
              </w:rPr>
            </w:pPr>
            <w:r>
              <w:rPr>
                <w:rFonts w:hint="eastAsia" w:ascii="宋体" w:hAnsi="宋体" w:eastAsia="宋体" w:cs="宋体"/>
                <w:i w:val="0"/>
                <w:iCs/>
                <w:color w:val="auto"/>
                <w:sz w:val="24"/>
                <w:szCs w:val="24"/>
                <w:highlight w:val="none"/>
              </w:rPr>
              <w:t>（</w:t>
            </w:r>
            <w:r>
              <w:rPr>
                <w:rFonts w:hint="eastAsia" w:ascii="宋体" w:hAnsi="宋体" w:eastAsia="宋体" w:cs="宋体"/>
                <w:i w:val="0"/>
                <w:iCs/>
                <w:color w:val="auto"/>
                <w:sz w:val="24"/>
                <w:szCs w:val="24"/>
                <w:highlight w:val="none"/>
                <w:lang w:eastAsia="zh-CN"/>
              </w:rPr>
              <w:t>元</w:t>
            </w:r>
            <w:r>
              <w:rPr>
                <w:rFonts w:hint="eastAsia" w:ascii="宋体" w:hAnsi="宋体" w:eastAsia="宋体" w:cs="宋体"/>
                <w:i w:val="0"/>
                <w:iCs/>
                <w:color w:val="auto"/>
                <w:sz w:val="24"/>
                <w:szCs w:val="24"/>
                <w:highlight w:val="none"/>
              </w:rPr>
              <w:t>）</w:t>
            </w:r>
          </w:p>
        </w:tc>
      </w:tr>
      <w:tr w14:paraId="590B9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006" w:type="dxa"/>
            <w:vMerge w:val="continue"/>
            <w:vAlign w:val="center"/>
          </w:tcPr>
          <w:p w14:paraId="01AA228F">
            <w:pPr>
              <w:jc w:val="center"/>
              <w:rPr>
                <w:rFonts w:hint="eastAsia" w:ascii="宋体" w:hAnsi="宋体" w:eastAsia="宋体" w:cs="宋体"/>
                <w:b/>
                <w:bCs/>
                <w:color w:val="auto"/>
                <w:sz w:val="24"/>
                <w:szCs w:val="24"/>
                <w:highlight w:val="none"/>
              </w:rPr>
            </w:pPr>
          </w:p>
        </w:tc>
        <w:tc>
          <w:tcPr>
            <w:tcW w:w="1319" w:type="dxa"/>
            <w:vAlign w:val="center"/>
          </w:tcPr>
          <w:p w14:paraId="0A824840">
            <w:pPr>
              <w:jc w:val="left"/>
              <w:rPr>
                <w:rFonts w:hint="eastAsia" w:ascii="宋体" w:hAnsi="宋体" w:eastAsia="宋体" w:cs="宋体"/>
                <w:i w:val="0"/>
                <w:iCs/>
                <w:color w:val="auto"/>
                <w:sz w:val="24"/>
                <w:szCs w:val="24"/>
                <w:highlight w:val="none"/>
                <w:lang w:eastAsia="zh-CN"/>
              </w:rPr>
            </w:pPr>
            <w:r>
              <w:rPr>
                <w:rFonts w:hint="eastAsia" w:ascii="宋体" w:hAnsi="宋体" w:eastAsia="宋体" w:cs="宋体"/>
                <w:i w:val="0"/>
                <w:iCs/>
                <w:color w:val="auto"/>
                <w:sz w:val="24"/>
                <w:szCs w:val="24"/>
                <w:highlight w:val="none"/>
                <w:lang w:eastAsia="zh-CN"/>
              </w:rPr>
              <w:t>（</w:t>
            </w:r>
            <w:r>
              <w:rPr>
                <w:rFonts w:hint="eastAsia" w:ascii="宋体" w:hAnsi="宋体" w:eastAsia="宋体" w:cs="宋体"/>
                <w:i w:val="0"/>
                <w:iCs/>
                <w:color w:val="auto"/>
                <w:sz w:val="24"/>
                <w:szCs w:val="24"/>
                <w:highlight w:val="none"/>
                <w:lang w:val="en-US" w:eastAsia="zh-CN"/>
              </w:rPr>
              <w:t>XXXX年X月X日-XXXX年X月X日</w:t>
            </w:r>
            <w:r>
              <w:rPr>
                <w:rFonts w:hint="eastAsia" w:ascii="宋体" w:hAnsi="宋体" w:eastAsia="宋体" w:cs="宋体"/>
                <w:i w:val="0"/>
                <w:iCs/>
                <w:color w:val="auto"/>
                <w:sz w:val="24"/>
                <w:szCs w:val="24"/>
                <w:highlight w:val="none"/>
                <w:lang w:eastAsia="zh-CN"/>
              </w:rPr>
              <w:t>）</w:t>
            </w:r>
          </w:p>
        </w:tc>
        <w:tc>
          <w:tcPr>
            <w:tcW w:w="981" w:type="dxa"/>
            <w:vAlign w:val="center"/>
          </w:tcPr>
          <w:p w14:paraId="1BBEB148">
            <w:pPr>
              <w:jc w:val="left"/>
              <w:rPr>
                <w:rFonts w:hint="eastAsia" w:ascii="宋体" w:hAnsi="宋体" w:eastAsia="宋体" w:cs="宋体"/>
                <w:i w:val="0"/>
                <w:iCs/>
                <w:color w:val="auto"/>
                <w:sz w:val="24"/>
                <w:szCs w:val="24"/>
                <w:highlight w:val="none"/>
              </w:rPr>
            </w:pPr>
          </w:p>
        </w:tc>
        <w:tc>
          <w:tcPr>
            <w:tcW w:w="1397" w:type="dxa"/>
            <w:vAlign w:val="center"/>
          </w:tcPr>
          <w:p w14:paraId="33F12F63">
            <w:pPr>
              <w:jc w:val="left"/>
              <w:rPr>
                <w:rFonts w:hint="eastAsia" w:ascii="宋体" w:hAnsi="宋体" w:eastAsia="宋体" w:cs="宋体"/>
                <w:i w:val="0"/>
                <w:iCs/>
                <w:color w:val="auto"/>
                <w:sz w:val="24"/>
                <w:szCs w:val="24"/>
                <w:highlight w:val="none"/>
              </w:rPr>
            </w:pPr>
          </w:p>
        </w:tc>
        <w:tc>
          <w:tcPr>
            <w:tcW w:w="1397" w:type="dxa"/>
            <w:vAlign w:val="center"/>
          </w:tcPr>
          <w:p w14:paraId="4CDBD11B">
            <w:pPr>
              <w:jc w:val="left"/>
              <w:rPr>
                <w:rFonts w:hint="eastAsia" w:ascii="宋体" w:hAnsi="宋体" w:eastAsia="宋体" w:cs="宋体"/>
                <w:i w:val="0"/>
                <w:iCs/>
                <w:color w:val="auto"/>
                <w:sz w:val="24"/>
                <w:szCs w:val="24"/>
                <w:highlight w:val="none"/>
              </w:rPr>
            </w:pPr>
          </w:p>
        </w:tc>
        <w:tc>
          <w:tcPr>
            <w:tcW w:w="2038" w:type="dxa"/>
            <w:vAlign w:val="center"/>
          </w:tcPr>
          <w:p w14:paraId="0955AA90">
            <w:pPr>
              <w:jc w:val="left"/>
              <w:rPr>
                <w:rFonts w:hint="eastAsia" w:ascii="宋体" w:hAnsi="宋体" w:eastAsia="宋体" w:cs="宋体"/>
                <w:i w:val="0"/>
                <w:iCs/>
                <w:color w:val="auto"/>
                <w:sz w:val="24"/>
                <w:szCs w:val="24"/>
                <w:highlight w:val="none"/>
              </w:rPr>
            </w:pPr>
          </w:p>
        </w:tc>
        <w:tc>
          <w:tcPr>
            <w:tcW w:w="1181" w:type="dxa"/>
            <w:vAlign w:val="top"/>
          </w:tcPr>
          <w:p w14:paraId="56D42FEF">
            <w:pPr>
              <w:jc w:val="left"/>
              <w:rPr>
                <w:rFonts w:hint="eastAsia" w:ascii="宋体" w:hAnsi="宋体" w:eastAsia="宋体" w:cs="宋体"/>
                <w:i w:val="0"/>
                <w:iCs/>
                <w:color w:val="auto"/>
                <w:sz w:val="24"/>
                <w:szCs w:val="24"/>
                <w:highlight w:val="none"/>
              </w:rPr>
            </w:pPr>
          </w:p>
        </w:tc>
      </w:tr>
      <w:tr w14:paraId="1C456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jc w:val="center"/>
        </w:trPr>
        <w:tc>
          <w:tcPr>
            <w:tcW w:w="1006" w:type="dxa"/>
            <w:vMerge w:val="continue"/>
            <w:vAlign w:val="center"/>
          </w:tcPr>
          <w:p w14:paraId="1A50B9B8">
            <w:pPr>
              <w:jc w:val="center"/>
              <w:rPr>
                <w:rFonts w:hint="eastAsia" w:ascii="宋体" w:hAnsi="宋体" w:eastAsia="宋体" w:cs="宋体"/>
                <w:b/>
                <w:bCs/>
                <w:color w:val="auto"/>
                <w:sz w:val="24"/>
                <w:szCs w:val="24"/>
                <w:highlight w:val="none"/>
              </w:rPr>
            </w:pPr>
          </w:p>
        </w:tc>
        <w:tc>
          <w:tcPr>
            <w:tcW w:w="1319" w:type="dxa"/>
            <w:vAlign w:val="center"/>
          </w:tcPr>
          <w:p w14:paraId="4237B369">
            <w:pPr>
              <w:jc w:val="left"/>
              <w:rPr>
                <w:rFonts w:hint="eastAsia" w:ascii="宋体" w:hAnsi="宋体" w:eastAsia="宋体" w:cs="宋体"/>
                <w:i/>
                <w:iCs/>
                <w:color w:val="auto"/>
                <w:sz w:val="24"/>
                <w:szCs w:val="24"/>
                <w:highlight w:val="none"/>
              </w:rPr>
            </w:pPr>
          </w:p>
        </w:tc>
        <w:tc>
          <w:tcPr>
            <w:tcW w:w="981" w:type="dxa"/>
            <w:vAlign w:val="center"/>
          </w:tcPr>
          <w:p w14:paraId="1729BFC9">
            <w:pPr>
              <w:jc w:val="left"/>
              <w:rPr>
                <w:rFonts w:hint="eastAsia" w:ascii="宋体" w:hAnsi="宋体" w:eastAsia="宋体" w:cs="宋体"/>
                <w:i/>
                <w:iCs/>
                <w:color w:val="auto"/>
                <w:sz w:val="24"/>
                <w:szCs w:val="24"/>
                <w:highlight w:val="none"/>
              </w:rPr>
            </w:pPr>
          </w:p>
        </w:tc>
        <w:tc>
          <w:tcPr>
            <w:tcW w:w="1397" w:type="dxa"/>
            <w:vAlign w:val="center"/>
          </w:tcPr>
          <w:p w14:paraId="316F918D">
            <w:pPr>
              <w:jc w:val="left"/>
              <w:rPr>
                <w:rFonts w:hint="eastAsia" w:ascii="宋体" w:hAnsi="宋体" w:eastAsia="宋体" w:cs="宋体"/>
                <w:i/>
                <w:iCs/>
                <w:color w:val="auto"/>
                <w:sz w:val="24"/>
                <w:szCs w:val="24"/>
                <w:highlight w:val="none"/>
              </w:rPr>
            </w:pPr>
          </w:p>
        </w:tc>
        <w:tc>
          <w:tcPr>
            <w:tcW w:w="1397" w:type="dxa"/>
            <w:vAlign w:val="center"/>
          </w:tcPr>
          <w:p w14:paraId="78B5DF6A">
            <w:pPr>
              <w:jc w:val="left"/>
              <w:rPr>
                <w:rFonts w:hint="eastAsia" w:ascii="宋体" w:hAnsi="宋体" w:eastAsia="宋体" w:cs="宋体"/>
                <w:i/>
                <w:iCs/>
                <w:color w:val="auto"/>
                <w:sz w:val="24"/>
                <w:szCs w:val="24"/>
                <w:highlight w:val="none"/>
              </w:rPr>
            </w:pPr>
          </w:p>
        </w:tc>
        <w:tc>
          <w:tcPr>
            <w:tcW w:w="2038" w:type="dxa"/>
            <w:vAlign w:val="center"/>
          </w:tcPr>
          <w:p w14:paraId="1CA61456">
            <w:pPr>
              <w:jc w:val="left"/>
              <w:rPr>
                <w:rFonts w:hint="eastAsia" w:ascii="宋体" w:hAnsi="宋体" w:eastAsia="宋体" w:cs="宋体"/>
                <w:i/>
                <w:iCs/>
                <w:color w:val="auto"/>
                <w:sz w:val="24"/>
                <w:szCs w:val="24"/>
                <w:highlight w:val="none"/>
              </w:rPr>
            </w:pPr>
          </w:p>
        </w:tc>
        <w:tc>
          <w:tcPr>
            <w:tcW w:w="1181" w:type="dxa"/>
            <w:vAlign w:val="center"/>
          </w:tcPr>
          <w:p w14:paraId="0094B179">
            <w:pPr>
              <w:jc w:val="left"/>
              <w:rPr>
                <w:rFonts w:hint="eastAsia" w:ascii="宋体" w:hAnsi="宋体" w:eastAsia="宋体" w:cs="宋体"/>
                <w:i/>
                <w:iCs/>
                <w:color w:val="auto"/>
                <w:sz w:val="24"/>
                <w:szCs w:val="24"/>
                <w:highlight w:val="none"/>
              </w:rPr>
            </w:pPr>
          </w:p>
        </w:tc>
      </w:tr>
      <w:tr w14:paraId="00CFA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jc w:val="center"/>
        </w:trPr>
        <w:tc>
          <w:tcPr>
            <w:tcW w:w="1006" w:type="dxa"/>
            <w:vMerge w:val="continue"/>
            <w:vAlign w:val="center"/>
          </w:tcPr>
          <w:p w14:paraId="01FDCAFC">
            <w:pPr>
              <w:jc w:val="center"/>
              <w:rPr>
                <w:rFonts w:hint="eastAsia" w:ascii="宋体" w:hAnsi="宋体" w:eastAsia="宋体" w:cs="宋体"/>
                <w:b/>
                <w:bCs/>
                <w:color w:val="auto"/>
                <w:sz w:val="24"/>
                <w:szCs w:val="24"/>
                <w:highlight w:val="none"/>
              </w:rPr>
            </w:pPr>
          </w:p>
        </w:tc>
        <w:tc>
          <w:tcPr>
            <w:tcW w:w="1319" w:type="dxa"/>
            <w:vAlign w:val="center"/>
          </w:tcPr>
          <w:p w14:paraId="0E26D9AE">
            <w:pPr>
              <w:jc w:val="left"/>
              <w:rPr>
                <w:rFonts w:hint="eastAsia" w:ascii="宋体" w:hAnsi="宋体" w:eastAsia="宋体" w:cs="宋体"/>
                <w:i/>
                <w:iCs/>
                <w:color w:val="auto"/>
                <w:sz w:val="24"/>
                <w:szCs w:val="24"/>
                <w:highlight w:val="none"/>
              </w:rPr>
            </w:pPr>
          </w:p>
        </w:tc>
        <w:tc>
          <w:tcPr>
            <w:tcW w:w="981" w:type="dxa"/>
            <w:vAlign w:val="center"/>
          </w:tcPr>
          <w:p w14:paraId="60DE3FE7">
            <w:pPr>
              <w:jc w:val="left"/>
              <w:rPr>
                <w:rFonts w:hint="eastAsia" w:ascii="宋体" w:hAnsi="宋体" w:eastAsia="宋体" w:cs="宋体"/>
                <w:i/>
                <w:iCs/>
                <w:color w:val="auto"/>
                <w:sz w:val="24"/>
                <w:szCs w:val="24"/>
                <w:highlight w:val="none"/>
              </w:rPr>
            </w:pPr>
          </w:p>
        </w:tc>
        <w:tc>
          <w:tcPr>
            <w:tcW w:w="1397" w:type="dxa"/>
            <w:vAlign w:val="center"/>
          </w:tcPr>
          <w:p w14:paraId="10FB44AB">
            <w:pPr>
              <w:jc w:val="left"/>
              <w:rPr>
                <w:rFonts w:hint="eastAsia" w:ascii="宋体" w:hAnsi="宋体" w:eastAsia="宋体" w:cs="宋体"/>
                <w:i/>
                <w:iCs/>
                <w:color w:val="auto"/>
                <w:sz w:val="24"/>
                <w:szCs w:val="24"/>
                <w:highlight w:val="none"/>
              </w:rPr>
            </w:pPr>
          </w:p>
        </w:tc>
        <w:tc>
          <w:tcPr>
            <w:tcW w:w="1397" w:type="dxa"/>
            <w:vAlign w:val="center"/>
          </w:tcPr>
          <w:p w14:paraId="15EEB548">
            <w:pPr>
              <w:jc w:val="left"/>
              <w:rPr>
                <w:rFonts w:hint="eastAsia" w:ascii="宋体" w:hAnsi="宋体" w:eastAsia="宋体" w:cs="宋体"/>
                <w:i/>
                <w:iCs/>
                <w:color w:val="auto"/>
                <w:sz w:val="24"/>
                <w:szCs w:val="24"/>
                <w:highlight w:val="none"/>
              </w:rPr>
            </w:pPr>
          </w:p>
        </w:tc>
        <w:tc>
          <w:tcPr>
            <w:tcW w:w="2038" w:type="dxa"/>
            <w:vAlign w:val="center"/>
          </w:tcPr>
          <w:p w14:paraId="7BF932B4">
            <w:pPr>
              <w:jc w:val="left"/>
              <w:rPr>
                <w:rFonts w:hint="eastAsia" w:ascii="宋体" w:hAnsi="宋体" w:eastAsia="宋体" w:cs="宋体"/>
                <w:i/>
                <w:iCs/>
                <w:color w:val="auto"/>
                <w:sz w:val="24"/>
                <w:szCs w:val="24"/>
                <w:highlight w:val="none"/>
              </w:rPr>
            </w:pPr>
          </w:p>
        </w:tc>
        <w:tc>
          <w:tcPr>
            <w:tcW w:w="1181" w:type="dxa"/>
            <w:vAlign w:val="center"/>
          </w:tcPr>
          <w:p w14:paraId="4D46900C">
            <w:pPr>
              <w:jc w:val="left"/>
              <w:rPr>
                <w:rFonts w:hint="eastAsia" w:ascii="宋体" w:hAnsi="宋体" w:eastAsia="宋体" w:cs="宋体"/>
                <w:i/>
                <w:iCs/>
                <w:color w:val="auto"/>
                <w:sz w:val="24"/>
                <w:szCs w:val="24"/>
                <w:highlight w:val="none"/>
              </w:rPr>
            </w:pPr>
          </w:p>
        </w:tc>
      </w:tr>
      <w:tr w14:paraId="15C6D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006" w:type="dxa"/>
            <w:vMerge w:val="continue"/>
            <w:vAlign w:val="center"/>
          </w:tcPr>
          <w:p w14:paraId="69DC8A72">
            <w:pPr>
              <w:jc w:val="center"/>
              <w:rPr>
                <w:rFonts w:hint="eastAsia" w:ascii="宋体" w:hAnsi="宋体" w:eastAsia="宋体" w:cs="宋体"/>
                <w:b/>
                <w:bCs/>
                <w:color w:val="auto"/>
                <w:sz w:val="24"/>
                <w:szCs w:val="24"/>
                <w:highlight w:val="none"/>
              </w:rPr>
            </w:pPr>
          </w:p>
        </w:tc>
        <w:tc>
          <w:tcPr>
            <w:tcW w:w="1319" w:type="dxa"/>
            <w:vAlign w:val="center"/>
          </w:tcPr>
          <w:p w14:paraId="5D58FE77">
            <w:pPr>
              <w:jc w:val="left"/>
              <w:rPr>
                <w:rFonts w:hint="eastAsia" w:ascii="宋体" w:hAnsi="宋体" w:eastAsia="宋体" w:cs="宋体"/>
                <w:i/>
                <w:iCs/>
                <w:color w:val="auto"/>
                <w:sz w:val="24"/>
                <w:szCs w:val="24"/>
                <w:highlight w:val="none"/>
              </w:rPr>
            </w:pPr>
          </w:p>
        </w:tc>
        <w:tc>
          <w:tcPr>
            <w:tcW w:w="981" w:type="dxa"/>
            <w:vAlign w:val="center"/>
          </w:tcPr>
          <w:p w14:paraId="462719B7">
            <w:pPr>
              <w:jc w:val="left"/>
              <w:rPr>
                <w:rFonts w:hint="eastAsia" w:ascii="宋体" w:hAnsi="宋体" w:eastAsia="宋体" w:cs="宋体"/>
                <w:i/>
                <w:iCs/>
                <w:color w:val="auto"/>
                <w:sz w:val="24"/>
                <w:szCs w:val="24"/>
                <w:highlight w:val="none"/>
              </w:rPr>
            </w:pPr>
          </w:p>
        </w:tc>
        <w:tc>
          <w:tcPr>
            <w:tcW w:w="1397" w:type="dxa"/>
            <w:vAlign w:val="center"/>
          </w:tcPr>
          <w:p w14:paraId="237A24F6">
            <w:pPr>
              <w:jc w:val="left"/>
              <w:rPr>
                <w:rFonts w:hint="eastAsia" w:ascii="宋体" w:hAnsi="宋体" w:eastAsia="宋体" w:cs="宋体"/>
                <w:i/>
                <w:iCs/>
                <w:color w:val="auto"/>
                <w:sz w:val="24"/>
                <w:szCs w:val="24"/>
                <w:highlight w:val="none"/>
              </w:rPr>
            </w:pPr>
          </w:p>
        </w:tc>
        <w:tc>
          <w:tcPr>
            <w:tcW w:w="1397" w:type="dxa"/>
            <w:vAlign w:val="center"/>
          </w:tcPr>
          <w:p w14:paraId="1E3038A0">
            <w:pPr>
              <w:jc w:val="left"/>
              <w:rPr>
                <w:rFonts w:hint="eastAsia" w:ascii="宋体" w:hAnsi="宋体" w:eastAsia="宋体" w:cs="宋体"/>
                <w:i/>
                <w:iCs/>
                <w:color w:val="auto"/>
                <w:sz w:val="24"/>
                <w:szCs w:val="24"/>
                <w:highlight w:val="none"/>
              </w:rPr>
            </w:pPr>
          </w:p>
        </w:tc>
        <w:tc>
          <w:tcPr>
            <w:tcW w:w="2038" w:type="dxa"/>
            <w:vAlign w:val="center"/>
          </w:tcPr>
          <w:p w14:paraId="51BBEDE8">
            <w:pPr>
              <w:jc w:val="left"/>
              <w:rPr>
                <w:rFonts w:hint="eastAsia" w:ascii="宋体" w:hAnsi="宋体" w:eastAsia="宋体" w:cs="宋体"/>
                <w:i/>
                <w:iCs/>
                <w:color w:val="auto"/>
                <w:sz w:val="24"/>
                <w:szCs w:val="24"/>
                <w:highlight w:val="none"/>
              </w:rPr>
            </w:pPr>
          </w:p>
        </w:tc>
        <w:tc>
          <w:tcPr>
            <w:tcW w:w="1181" w:type="dxa"/>
            <w:vAlign w:val="center"/>
          </w:tcPr>
          <w:p w14:paraId="4E82CA97">
            <w:pPr>
              <w:jc w:val="left"/>
              <w:rPr>
                <w:rFonts w:hint="eastAsia" w:ascii="宋体" w:hAnsi="宋体" w:eastAsia="宋体" w:cs="宋体"/>
                <w:i/>
                <w:iCs/>
                <w:color w:val="auto"/>
                <w:sz w:val="24"/>
                <w:szCs w:val="24"/>
                <w:highlight w:val="none"/>
              </w:rPr>
            </w:pPr>
          </w:p>
        </w:tc>
      </w:tr>
      <w:tr w14:paraId="1DC74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006" w:type="dxa"/>
            <w:vAlign w:val="center"/>
          </w:tcPr>
          <w:p w14:paraId="232458CF">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lang w:val="en-US" w:eastAsia="zh-CN"/>
              </w:rPr>
              <w:t>规划</w:t>
            </w:r>
            <w:r>
              <w:rPr>
                <w:rFonts w:hint="eastAsia" w:ascii="宋体" w:hAnsi="宋体" w:eastAsia="宋体" w:cs="宋体"/>
                <w:b/>
                <w:bCs/>
                <w:color w:val="auto"/>
                <w:sz w:val="24"/>
                <w:szCs w:val="24"/>
                <w:highlight w:val="none"/>
              </w:rPr>
              <w:t>内容</w:t>
            </w:r>
          </w:p>
        </w:tc>
        <w:tc>
          <w:tcPr>
            <w:tcW w:w="5094" w:type="dxa"/>
            <w:gridSpan w:val="4"/>
            <w:vAlign w:val="center"/>
          </w:tcPr>
          <w:p w14:paraId="201B4E3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rPr>
              <w:t>用户需求书</w:t>
            </w:r>
          </w:p>
          <w:p w14:paraId="24D1B19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rPr>
              <w:t>一、总则</w:t>
            </w:r>
          </w:p>
          <w:p w14:paraId="1B9C47F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第一条</w:t>
            </w:r>
            <w:r>
              <w:rPr>
                <w:rFonts w:hint="eastAsia" w:ascii="宋体" w:hAnsi="宋体" w:eastAsia="宋体" w:cs="宋体"/>
                <w:i w:val="0"/>
                <w:iCs w:val="0"/>
                <w:color w:val="auto"/>
                <w:sz w:val="24"/>
                <w:szCs w:val="24"/>
                <w:highlight w:val="none"/>
              </w:rPr>
              <w:t xml:space="preserve"> 为深化落实“一区一城一港一湾”产业发展新格局，落实城市发展需要，结合2026-2027年度花都区土地储备任务，准备开展2026-2027年度储备用地控规调整服务工作。</w:t>
            </w:r>
          </w:p>
          <w:p w14:paraId="0F75626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第二条</w:t>
            </w:r>
            <w:r>
              <w:rPr>
                <w:rFonts w:hint="eastAsia" w:ascii="宋体" w:hAnsi="宋体" w:eastAsia="宋体" w:cs="宋体"/>
                <w:i w:val="0"/>
                <w:iCs w:val="0"/>
                <w:color w:val="auto"/>
                <w:sz w:val="24"/>
                <w:szCs w:val="24"/>
                <w:highlight w:val="none"/>
              </w:rPr>
              <w:t xml:space="preserve"> 本规划调整项目的工作范围为花都区。</w:t>
            </w:r>
          </w:p>
          <w:p w14:paraId="69AE4EC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第三条</w:t>
            </w:r>
            <w:r>
              <w:rPr>
                <w:rFonts w:hint="eastAsia" w:ascii="宋体" w:hAnsi="宋体" w:eastAsia="宋体" w:cs="宋体"/>
                <w:i w:val="0"/>
                <w:iCs w:val="0"/>
                <w:color w:val="auto"/>
                <w:sz w:val="24"/>
                <w:szCs w:val="24"/>
                <w:highlight w:val="none"/>
              </w:rPr>
              <w:t xml:space="preserve"> 本标段将依据《中华人民共和国政府采购法》相关规定，通过政府采购的方式，委托具备相应资质的服务单位完成。</w:t>
            </w:r>
          </w:p>
          <w:p w14:paraId="17E8BB0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第四条</w:t>
            </w:r>
            <w:r>
              <w:rPr>
                <w:rFonts w:hint="eastAsia" w:ascii="宋体" w:hAnsi="宋体" w:eastAsia="宋体" w:cs="宋体"/>
                <w:i w:val="0"/>
                <w:iCs w:val="0"/>
                <w:color w:val="auto"/>
                <w:sz w:val="24"/>
                <w:szCs w:val="24"/>
                <w:highlight w:val="none"/>
              </w:rPr>
              <w:t xml:space="preserve"> 自合同签订之日起两年内完成，或项目付款金额累计达到本项目财政预算金额人民币叁仟万元整。（如因项目审批环节时间超出预期而造成承接单位未能在规定期限内完成项目，项目完成的时间可顺延，具体时间由承接单位与委托单位协商确定）。服务期限内，由广州市花都区土地开发储备中心指定具体地块开展调规工作，最终按实际完成工作量结算费用。承接本标段的单位需按任务书规定要求和进度完成工作，并按约定的工作期限完成指定储备地块的规划调整并按程序通过有关部门审批。</w:t>
            </w:r>
          </w:p>
          <w:p w14:paraId="57DE39B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第五条</w:t>
            </w:r>
            <w:r>
              <w:rPr>
                <w:rFonts w:hint="eastAsia" w:ascii="宋体" w:hAnsi="宋体" w:eastAsia="宋体" w:cs="宋体"/>
                <w:i w:val="0"/>
                <w:iCs w:val="0"/>
                <w:color w:val="auto"/>
                <w:sz w:val="24"/>
                <w:szCs w:val="24"/>
                <w:highlight w:val="none"/>
              </w:rPr>
              <w:t xml:space="preserve"> 承接本规划任务的单位被视为承认本任务书所有条款，并按本文件规定的条款完成相关工作。</w:t>
            </w:r>
          </w:p>
          <w:p w14:paraId="0FEA325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rPr>
              <w:t>二、规划设计原则</w:t>
            </w:r>
          </w:p>
          <w:p w14:paraId="153AEF7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第六条</w:t>
            </w:r>
            <w:r>
              <w:rPr>
                <w:rFonts w:hint="eastAsia" w:ascii="宋体" w:hAnsi="宋体" w:eastAsia="宋体" w:cs="宋体"/>
                <w:i w:val="0"/>
                <w:iCs w:val="0"/>
                <w:color w:val="auto"/>
                <w:sz w:val="24"/>
                <w:szCs w:val="24"/>
                <w:highlight w:val="none"/>
              </w:rPr>
              <w:t xml:space="preserve"> 承上启下原则：充分落实广州市国土空间总体规划、花都区发展大纲等上层次规划的要求，从更大的范围考虑规划的发展定位和功能，建立地区清晰的发展路径，提出具有较高可行性的发展策略，引领该地区城市建设和产业转型升级。</w:t>
            </w:r>
          </w:p>
          <w:p w14:paraId="4814963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第七条</w:t>
            </w:r>
            <w:r>
              <w:rPr>
                <w:rFonts w:hint="eastAsia" w:ascii="宋体" w:hAnsi="宋体" w:eastAsia="宋体" w:cs="宋体"/>
                <w:i w:val="0"/>
                <w:iCs w:val="0"/>
                <w:color w:val="auto"/>
                <w:sz w:val="24"/>
                <w:szCs w:val="24"/>
                <w:highlight w:val="none"/>
              </w:rPr>
              <w:t xml:space="preserve"> 以人为本原则：注重环境保护和开发利用相结合，体现可持续发展的要求。从人的尺度和出行需要出发，构建和谐、舒适的现代城市风貌。</w:t>
            </w:r>
          </w:p>
          <w:p w14:paraId="682CAF4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第八条</w:t>
            </w:r>
            <w:r>
              <w:rPr>
                <w:rFonts w:hint="eastAsia" w:ascii="宋体" w:hAnsi="宋体" w:eastAsia="宋体" w:cs="宋体"/>
                <w:i w:val="0"/>
                <w:iCs w:val="0"/>
                <w:color w:val="auto"/>
                <w:sz w:val="24"/>
                <w:szCs w:val="24"/>
                <w:highlight w:val="none"/>
              </w:rPr>
              <w:t xml:space="preserve"> “多规合一”原则：规划应综合协调国土空间规划、城市规划、土地利用总体规划与社会经济发展规划之间的关系，特别是注意建设用地在规模与空间布局上的衔接。</w:t>
            </w:r>
          </w:p>
          <w:p w14:paraId="06EB65F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第九条</w:t>
            </w:r>
            <w:r>
              <w:rPr>
                <w:rFonts w:hint="eastAsia" w:ascii="宋体" w:hAnsi="宋体" w:eastAsia="宋体" w:cs="宋体"/>
                <w:i w:val="0"/>
                <w:iCs w:val="0"/>
                <w:color w:val="auto"/>
                <w:sz w:val="24"/>
                <w:szCs w:val="24"/>
                <w:highlight w:val="none"/>
              </w:rPr>
              <w:t xml:space="preserve"> 精细化、品质化原则：按照“精细化、品质化”的要求，从人的尺度和出行需要出发，构建和谐、舒适的城市环境。</w:t>
            </w:r>
          </w:p>
          <w:p w14:paraId="005D1C3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第十条</w:t>
            </w:r>
            <w:r>
              <w:rPr>
                <w:rFonts w:hint="eastAsia" w:ascii="宋体" w:hAnsi="宋体" w:eastAsia="宋体" w:cs="宋体"/>
                <w:i w:val="0"/>
                <w:iCs w:val="0"/>
                <w:color w:val="auto"/>
                <w:sz w:val="24"/>
                <w:szCs w:val="24"/>
                <w:highlight w:val="none"/>
              </w:rPr>
              <w:t xml:space="preserve"> 远近结合原则：规划应注重规划功能区的可持续发展，结合上层次规划要求，科学合理论证产业园区各阶段发展目标和规模，统一规划，分期实施。</w:t>
            </w:r>
          </w:p>
          <w:p w14:paraId="70E8E3F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第十一条</w:t>
            </w:r>
            <w:r>
              <w:rPr>
                <w:rFonts w:hint="eastAsia" w:ascii="宋体" w:hAnsi="宋体" w:eastAsia="宋体" w:cs="宋体"/>
                <w:i w:val="0"/>
                <w:iCs w:val="0"/>
                <w:color w:val="auto"/>
                <w:sz w:val="24"/>
                <w:szCs w:val="24"/>
                <w:highlight w:val="none"/>
              </w:rPr>
              <w:t xml:space="preserve"> 符合法规原则：遵循中华人民共和国各项有关城市规划与建筑设计规范，以及广东省和广州市相关行业的有关法律、法规和技术规范，成果应符合城乡规划“一张图”管理的“信息化”要求。</w:t>
            </w:r>
          </w:p>
          <w:p w14:paraId="1B72008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rPr>
              <w:t>三、工作内容要求</w:t>
            </w:r>
          </w:p>
          <w:p w14:paraId="44862F8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第十二条</w:t>
            </w:r>
            <w:r>
              <w:rPr>
                <w:rFonts w:hint="eastAsia" w:ascii="宋体" w:hAnsi="宋体" w:eastAsia="宋体" w:cs="宋体"/>
                <w:i w:val="0"/>
                <w:iCs w:val="0"/>
                <w:color w:val="auto"/>
                <w:sz w:val="24"/>
                <w:szCs w:val="24"/>
                <w:highlight w:val="none"/>
              </w:rPr>
              <w:t xml:space="preserve"> 花都区土地储备控制性详细规划编制工作，主要指广州市花都区土地开发储备中心提出的土地储备用地相关规划编制，项目类型主要包括控制性详细规划修改、控制性详细规划修正和产业区块内控规深化优化（含交通影响评估）等内容，另外根据实际情况开展环境影响评估、树木保护评估、历史文化遗产评估、洪涝安全评估和防洪排涝能力提升报告。</w:t>
            </w:r>
          </w:p>
          <w:p w14:paraId="5A72F18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第十三条</w:t>
            </w:r>
            <w:r>
              <w:rPr>
                <w:rFonts w:hint="eastAsia" w:ascii="宋体" w:hAnsi="宋体" w:eastAsia="宋体" w:cs="宋体"/>
                <w:i w:val="0"/>
                <w:iCs w:val="0"/>
                <w:color w:val="auto"/>
                <w:sz w:val="24"/>
                <w:szCs w:val="24"/>
                <w:highlight w:val="none"/>
              </w:rPr>
              <w:t xml:space="preserve"> 控制性详细规划修改</w:t>
            </w:r>
          </w:p>
          <w:p w14:paraId="6167919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(1)规划依据与原则。说明规划编制的依据和原则，包括已审批的上层次规划、专项规划及其它相关规划，适用的法规、规范和其它依据，规划编制所遵循的主要原则等。</w:t>
            </w:r>
          </w:p>
          <w:p w14:paraId="300AFDF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(2)上层次规划情况。阐述已批准的城市总体规划、战略规划或者专项规划等上层次规划和其它相关规划对规划区范围的规划要求。</w:t>
            </w:r>
          </w:p>
          <w:p w14:paraId="0430FD1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(3)规划调整说明。阐明本次规划对上一轮控制性详细规划的调整，说明调整依据、调整原因。</w:t>
            </w:r>
          </w:p>
          <w:p w14:paraId="2F03DE0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(4)现状分析。在现状调查资料基础上，分析规划区现状社会经济、土地利用、公共服务设施、道路交通系统、绿地系统等方面的特征，解析问题及成因。</w:t>
            </w:r>
          </w:p>
          <w:p w14:paraId="52D636B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(5)用地布局。根据发展定位，从全区、规划区等层面统筹考虑的角度，分析影响规划区范围用地布局结构与功能组织的主要因素，检讨原控规土地利用规划方案，确定用地布局结构与功能组织，各类用地的分布、规模及规划要求。</w:t>
            </w:r>
          </w:p>
          <w:p w14:paraId="289F226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(6)多规合一。按照“多规合一”原则，对涉及地区的国民经济和社会发展规划、土地利用总体规划和各类专项规划进行协调，重点在空间上与土地利用总体规划、环境保护规划进行协调。</w:t>
            </w:r>
          </w:p>
          <w:p w14:paraId="0FFB5AE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(7)地块及管理单元调整说明。按照规划控制的要求及项目具体情况，确定规划地块及规划管理单元的控制内容，包括：各地块的用地性质、开发强度、绿地率、建筑密度、配套设施数量等指标；各规划管理单元主导属性、总用地面积、总建筑面积、人口规模、公共服务设施、市政公用设施、绿地与广场以及文物保护等。根据实际情况，对控制指标进行必要的说明和论证。</w:t>
            </w:r>
          </w:p>
          <w:p w14:paraId="794FF70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(8)开发强度和人口容量。结合地区的交通、设施承载力、航空限高等要求，结合周边的景观环境保护要求，综合确定各地块的开发强度和人口容量。</w:t>
            </w:r>
          </w:p>
          <w:p w14:paraId="7A5DBCC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(9)公共服务设施规划。根据调整的用地性质和人口容量，重新评估规划地块、规划管理单元的公共服务设施的等级、数量、规模及控制要求。</w:t>
            </w:r>
          </w:p>
          <w:p w14:paraId="47B0AD7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(10)道路交通规划。根据上层次规划确定的控制及规划要求，处理好规划调整地块与周边道路衔接关系，对各类交通设施（含道路、公交、停车等）的布局、规模、用地范围等进行统筹安排；明确对原有规划道路的调整情况，并对调整原因进行详细说明。</w:t>
            </w:r>
          </w:p>
          <w:p w14:paraId="698452B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(11)总平面概念方案。明确设计范围在区域层面的空间结构位置，提出整体的空间形态意向，对河流沿线、重要道路沿线重要节点、视廊、视点、视域等景观构成要素提出控制和引导要求，明确调整地块的总平面布局概念方案。</w:t>
            </w:r>
          </w:p>
          <w:p w14:paraId="10145B9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第十四条</w:t>
            </w:r>
            <w:r>
              <w:rPr>
                <w:rFonts w:hint="eastAsia" w:ascii="宋体" w:hAnsi="宋体" w:eastAsia="宋体" w:cs="宋体"/>
                <w:i w:val="0"/>
                <w:iCs w:val="0"/>
                <w:color w:val="auto"/>
                <w:sz w:val="24"/>
                <w:szCs w:val="24"/>
                <w:highlight w:val="none"/>
              </w:rPr>
              <w:t xml:space="preserve"> 交通影响评估与环境影响评估</w:t>
            </w:r>
          </w:p>
          <w:p w14:paraId="245C6BB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根据审批部门的要求，完成交通影响评估报告与环境影响评估报告，明确控规调整的可行性，评估成果形式需符合审议要求。</w:t>
            </w:r>
          </w:p>
          <w:p w14:paraId="037E719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第十五条</w:t>
            </w:r>
            <w:r>
              <w:rPr>
                <w:rFonts w:hint="eastAsia" w:ascii="宋体" w:hAnsi="宋体" w:eastAsia="宋体" w:cs="宋体"/>
                <w:i w:val="0"/>
                <w:iCs w:val="0"/>
                <w:color w:val="auto"/>
                <w:sz w:val="24"/>
                <w:szCs w:val="24"/>
                <w:highlight w:val="none"/>
              </w:rPr>
              <w:t xml:space="preserve"> 控制性详细规划修正</w:t>
            </w:r>
          </w:p>
          <w:p w14:paraId="6EB7BE3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结合广州市市权下放、简化审批流程的要求，部分控规修改工作下放各区政府，按照控规修正进行审批，规划论证报告内容仍按控规修改成果完成，相关交通影响评估和环境影响评估，按相关部门要求进行选做。</w:t>
            </w:r>
          </w:p>
          <w:p w14:paraId="5291FC1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第十六条</w:t>
            </w:r>
            <w:r>
              <w:rPr>
                <w:rFonts w:hint="eastAsia" w:ascii="宋体" w:hAnsi="宋体" w:eastAsia="宋体" w:cs="宋体"/>
                <w:i w:val="0"/>
                <w:iCs w:val="0"/>
                <w:color w:val="auto"/>
                <w:sz w:val="24"/>
                <w:szCs w:val="24"/>
                <w:highlight w:val="none"/>
              </w:rPr>
              <w:t xml:space="preserve"> 其他专项评估工作</w:t>
            </w:r>
          </w:p>
          <w:p w14:paraId="0050F36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按照规划审批要求需开展环境影响评估、树木保护专章、历史文化遗产评估、洪涝安全评估及防洪排涝能力提升报告。</w:t>
            </w:r>
          </w:p>
          <w:p w14:paraId="459A649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rPr>
              <w:t>四、规划成果要求</w:t>
            </w:r>
          </w:p>
          <w:p w14:paraId="40DA638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第十七条</w:t>
            </w:r>
            <w:r>
              <w:rPr>
                <w:rFonts w:hint="eastAsia" w:ascii="宋体" w:hAnsi="宋体" w:eastAsia="宋体" w:cs="宋体"/>
                <w:i w:val="0"/>
                <w:iCs w:val="0"/>
                <w:color w:val="auto"/>
                <w:sz w:val="24"/>
                <w:szCs w:val="24"/>
                <w:highlight w:val="none"/>
              </w:rPr>
              <w:t xml:space="preserve"> 规划成果必须符合工作内容中有关章节规定的要求，并达到审批部门要求。</w:t>
            </w:r>
          </w:p>
          <w:p w14:paraId="6F8264B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第十八条</w:t>
            </w:r>
            <w:r>
              <w:rPr>
                <w:rFonts w:hint="eastAsia" w:ascii="宋体" w:hAnsi="宋体" w:eastAsia="宋体" w:cs="宋体"/>
                <w:i w:val="0"/>
                <w:iCs w:val="0"/>
                <w:color w:val="auto"/>
                <w:sz w:val="24"/>
                <w:szCs w:val="24"/>
                <w:highlight w:val="none"/>
              </w:rPr>
              <w:t xml:space="preserve"> 规划成果必须做到清晰、完整、表达准确，同类图纸规格应尽量统一。</w:t>
            </w:r>
          </w:p>
          <w:p w14:paraId="73C534E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第十九条</w:t>
            </w:r>
            <w:r>
              <w:rPr>
                <w:rFonts w:hint="eastAsia" w:ascii="宋体" w:hAnsi="宋体" w:eastAsia="宋体" w:cs="宋体"/>
                <w:i w:val="0"/>
                <w:iCs w:val="0"/>
                <w:color w:val="auto"/>
                <w:sz w:val="24"/>
                <w:szCs w:val="24"/>
                <w:highlight w:val="none"/>
              </w:rPr>
              <w:t xml:space="preserve"> 根据审查环节的需要，在提交规划成果进行审查的每个环节，设计单位均应提供符合规划内容要求的图纸全本或简本，数量以满足审查要求为准，装订规格为A3（297×420mm）或A4（297×210mm）。</w:t>
            </w:r>
          </w:p>
          <w:p w14:paraId="0673A0D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第二十条</w:t>
            </w:r>
            <w:r>
              <w:rPr>
                <w:rFonts w:hint="eastAsia" w:ascii="宋体" w:hAnsi="宋体" w:eastAsia="宋体" w:cs="宋体"/>
                <w:i w:val="0"/>
                <w:iCs w:val="0"/>
                <w:color w:val="auto"/>
                <w:sz w:val="24"/>
                <w:szCs w:val="24"/>
                <w:highlight w:val="none"/>
              </w:rPr>
              <w:t xml:space="preserve"> 设计成果电子文件要求：本规划全部设计成果均应按照广州市“多规合一”信息平台和城乡规划“一张图”信息平台建设的要求制作成电子文件。文本文件采用可编辑的原始（word或indesign或ppt排版文件）格式，图形文件采用AutoCad的dwg格式和JPG格式，以上电子文件要求提交光盘3套。</w:t>
            </w:r>
          </w:p>
          <w:p w14:paraId="2E47E72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rPr>
              <w:t>五、成果报送及审查规定</w:t>
            </w:r>
          </w:p>
          <w:p w14:paraId="79DC66A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第二十一条</w:t>
            </w:r>
            <w:r>
              <w:rPr>
                <w:rFonts w:hint="eastAsia" w:ascii="宋体" w:hAnsi="宋体" w:eastAsia="宋体" w:cs="宋体"/>
                <w:i w:val="0"/>
                <w:iCs w:val="0"/>
                <w:color w:val="auto"/>
                <w:sz w:val="24"/>
                <w:szCs w:val="24"/>
                <w:highlight w:val="none"/>
              </w:rPr>
              <w:t xml:space="preserve"> 规划设计单位需负责提供各审查阶段所必需的成果、方案介绍等汇报资料。</w:t>
            </w:r>
          </w:p>
          <w:p w14:paraId="2382F24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第二十二条</w:t>
            </w:r>
            <w:r>
              <w:rPr>
                <w:rFonts w:hint="eastAsia" w:ascii="宋体" w:hAnsi="宋体" w:eastAsia="宋体" w:cs="宋体"/>
                <w:i w:val="0"/>
                <w:iCs w:val="0"/>
                <w:color w:val="auto"/>
                <w:sz w:val="24"/>
                <w:szCs w:val="24"/>
                <w:highlight w:val="none"/>
              </w:rPr>
              <w:t xml:space="preserve"> 各阶段成果报送的规划设计文件，规划设计单位必须于审查前3天提交广州市规划和自然资源局花都区分局及广州市花都区土地开发储备中心，经清点文件后签收登记。</w:t>
            </w:r>
          </w:p>
          <w:p w14:paraId="2DAA389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第二十三条</w:t>
            </w:r>
            <w:r>
              <w:rPr>
                <w:rFonts w:hint="eastAsia" w:ascii="宋体" w:hAnsi="宋体" w:eastAsia="宋体" w:cs="宋体"/>
                <w:i w:val="0"/>
                <w:iCs w:val="0"/>
                <w:color w:val="auto"/>
                <w:sz w:val="24"/>
                <w:szCs w:val="24"/>
                <w:highlight w:val="none"/>
              </w:rPr>
              <w:t xml:space="preserve"> 规划设计单位提交的成果应在方案图纸和文本缩印本上标注委托单位名称、设计单位名称、设计人员名单、法定代表人（或法定代表人委托代理人），并盖印公章。</w:t>
            </w:r>
          </w:p>
          <w:p w14:paraId="12DD17C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第二十四条</w:t>
            </w:r>
            <w:r>
              <w:rPr>
                <w:rFonts w:hint="eastAsia" w:ascii="宋体" w:hAnsi="宋体" w:eastAsia="宋体" w:cs="宋体"/>
                <w:i w:val="0"/>
                <w:iCs w:val="0"/>
                <w:color w:val="auto"/>
                <w:sz w:val="24"/>
                <w:szCs w:val="24"/>
                <w:highlight w:val="none"/>
              </w:rPr>
              <w:t xml:space="preserve"> 项目的规划调整通过审批部门批准，成果材料经广州市规划和自然资源局花都区分局技术审查同意并予以结题。技术服务单位凭结题材料及最终成果文件向广州市花都区土地开发储备中心结算资金。</w:t>
            </w:r>
          </w:p>
          <w:p w14:paraId="1CDE825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第二十五条</w:t>
            </w:r>
            <w:r>
              <w:rPr>
                <w:rFonts w:hint="eastAsia" w:ascii="宋体" w:hAnsi="宋体" w:eastAsia="宋体" w:cs="宋体"/>
                <w:i w:val="0"/>
                <w:iCs w:val="0"/>
                <w:color w:val="auto"/>
                <w:sz w:val="24"/>
                <w:szCs w:val="24"/>
                <w:highlight w:val="none"/>
              </w:rPr>
              <w:t xml:space="preserve"> 单个项目原则上需在接受委托起半年内完成规划调整，确因审查原因、具体地块复杂或其他非技术服务单位原因造成无法按期完成的，项目完成的时间可适当延后。具体时间由规划设计单位与规划组织单位协商确定。</w:t>
            </w:r>
          </w:p>
          <w:p w14:paraId="01BDDDB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rPr>
              <w:t>六、费用结算</w:t>
            </w:r>
          </w:p>
          <w:p w14:paraId="3E5A971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第二十六条</w:t>
            </w:r>
            <w:r>
              <w:rPr>
                <w:rFonts w:hint="eastAsia" w:ascii="宋体" w:hAnsi="宋体" w:eastAsia="宋体" w:cs="宋体"/>
                <w:i w:val="0"/>
                <w:iCs w:val="0"/>
                <w:color w:val="auto"/>
                <w:sz w:val="24"/>
                <w:szCs w:val="24"/>
                <w:highlight w:val="none"/>
              </w:rPr>
              <w:t xml:space="preserve"> 费用总控制价</w:t>
            </w:r>
          </w:p>
          <w:p w14:paraId="2FBDF8E9">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费用总控制价为人民币3000万元整（含税）。</w:t>
            </w:r>
          </w:p>
          <w:p w14:paraId="462BD87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第二十七条</w:t>
            </w:r>
            <w:r>
              <w:rPr>
                <w:rFonts w:hint="eastAsia" w:ascii="宋体" w:hAnsi="宋体" w:eastAsia="宋体" w:cs="宋体"/>
                <w:i w:val="0"/>
                <w:iCs w:val="0"/>
                <w:color w:val="auto"/>
                <w:sz w:val="24"/>
                <w:szCs w:val="24"/>
                <w:highlight w:val="none"/>
              </w:rPr>
              <w:t xml:space="preserve"> 报价方式与支付方式</w:t>
            </w:r>
          </w:p>
          <w:p w14:paraId="431530D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本项目总金额为3000万元（含税），服务期限两年，按照采购人具体委托实施项目进行结算。单个项目基准费用参照《广东省城市规划收费标准的建议》（行业指导价，2003）的有关规定执行，但不超过本条第2点规定的最高限价；特殊情况，可由采购人与中标人另行协商确定。</w:t>
            </w:r>
          </w:p>
          <w:p w14:paraId="269A569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2.最高限价：</w:t>
            </w:r>
          </w:p>
          <w:p w14:paraId="2E59EB6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(1)控制性详细规划修改：</w:t>
            </w:r>
          </w:p>
          <w:p w14:paraId="5D3432A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单个规划管理单元控规修改项目，每个项目总费用不高于77万元（含交通影响评估篇章）。</w:t>
            </w:r>
          </w:p>
          <w:p w14:paraId="43E7214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涉及多个规划管理单元片区控规调整项目（规划管理单元超过1个的且面积超过200公顷），每个项目总费用不高于151万元（含交通影响评估篇章）。</w:t>
            </w:r>
          </w:p>
          <w:p w14:paraId="7DCD20D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(2)控制性详细规划修正项目或产业区块内控规深化优化项目：工业用地不高于30万元/个（含交通影响评估篇章），居住、商业等其他用用地不高于40万元/个（含交通影响评估篇章）。</w:t>
            </w:r>
          </w:p>
          <w:p w14:paraId="36752ED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(3)环境影响评估：如需编制环境影响报告书，报价45万/个，如需编制环境影响篇章，报价20万/个。</w:t>
            </w:r>
          </w:p>
          <w:p w14:paraId="521CFB7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(4)树木保护评估：规划范围不大于2平方公里，报价15万元。规划范围超过2平方公里，按照上述价格上浮10万计费，即报价25万元。</w:t>
            </w:r>
          </w:p>
          <w:p w14:paraId="39DA5D4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(5)历史文化遗产评估：规划范围不大于2平方公里，报价15万元。规划范围超过2平方公里，按照上述价格上浮10万元计费，即报价25万元。</w:t>
            </w:r>
          </w:p>
          <w:p w14:paraId="38433D6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(6)洪涝安全评估：规划范围不大于2平方公里，报价15万元。规划范围超过2平方公里，按照上述价格2倍计费，即报价30万元。</w:t>
            </w:r>
          </w:p>
          <w:p w14:paraId="6AF92C7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(7)防洪排涝能力提升报告：规划范围不大于2平方公里，报价15万元。规划范围超过2平方公里，按照上述价格上浮10万元计费，即报价25万元。</w:t>
            </w:r>
          </w:p>
          <w:p w14:paraId="1E2241F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(8)如项目涉及除上述以外的其他专项评估将另行委托开展，不计入本次项目服务。</w:t>
            </w:r>
          </w:p>
          <w:p w14:paraId="2DE095B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3.本项目投标人须以投标折扣的形式进行报价，统一对本项目所有服务内容报一个投标折扣，不接受有选择性报价，投标折扣必须为固定值（如</w:t>
            </w:r>
            <w:r>
              <w:rPr>
                <w:rFonts w:hint="eastAsia" w:ascii="宋体" w:hAnsi="宋体" w:eastAsia="宋体" w:cs="宋体"/>
                <w:i w:val="0"/>
                <w:iCs w:val="0"/>
                <w:color w:val="auto"/>
                <w:sz w:val="24"/>
                <w:szCs w:val="24"/>
                <w:highlight w:val="yellow"/>
              </w:rPr>
              <w:t>90%</w:t>
            </w:r>
            <w:r>
              <w:rPr>
                <w:rFonts w:hint="eastAsia" w:ascii="宋体" w:hAnsi="宋体" w:eastAsia="宋体" w:cs="宋体"/>
                <w:i w:val="0"/>
                <w:iCs w:val="0"/>
                <w:color w:val="auto"/>
                <w:sz w:val="24"/>
                <w:szCs w:val="24"/>
                <w:highlight w:val="none"/>
              </w:rPr>
              <w:t>），不得存在区间值（如</w:t>
            </w:r>
            <w:r>
              <w:rPr>
                <w:rFonts w:hint="eastAsia" w:ascii="宋体" w:hAnsi="宋体" w:eastAsia="宋体" w:cs="宋体"/>
                <w:i w:val="0"/>
                <w:iCs w:val="0"/>
                <w:color w:val="auto"/>
                <w:sz w:val="24"/>
                <w:szCs w:val="24"/>
                <w:highlight w:val="yellow"/>
              </w:rPr>
              <w:t>90-80%</w:t>
            </w:r>
            <w:r>
              <w:rPr>
                <w:rFonts w:hint="eastAsia" w:ascii="宋体" w:hAnsi="宋体" w:eastAsia="宋体" w:cs="宋体"/>
                <w:i w:val="0"/>
                <w:iCs w:val="0"/>
                <w:color w:val="auto"/>
                <w:sz w:val="24"/>
                <w:szCs w:val="24"/>
                <w:highlight w:val="none"/>
              </w:rPr>
              <w:t>），所报的投标折扣应当适用于采购人所采购的每项服务，否则投标无效。</w:t>
            </w:r>
          </w:p>
          <w:p w14:paraId="52D5588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yellow"/>
              </w:rPr>
              <w:t>4.0％≤投标折扣≤100％</w:t>
            </w:r>
            <w:r>
              <w:rPr>
                <w:rFonts w:hint="eastAsia" w:ascii="宋体" w:hAnsi="宋体" w:eastAsia="宋体" w:cs="宋体"/>
                <w:i w:val="0"/>
                <w:iCs w:val="0"/>
                <w:color w:val="auto"/>
                <w:sz w:val="24"/>
                <w:szCs w:val="24"/>
                <w:highlight w:val="none"/>
              </w:rPr>
              <w:t>，</w:t>
            </w:r>
            <w:r>
              <w:rPr>
                <w:rFonts w:hint="eastAsia" w:ascii="宋体" w:hAnsi="宋体" w:eastAsia="宋体" w:cs="宋体"/>
                <w:i w:val="0"/>
                <w:iCs w:val="0"/>
                <w:color w:val="auto"/>
                <w:sz w:val="24"/>
                <w:szCs w:val="24"/>
                <w:highlight w:val="yellow"/>
              </w:rPr>
              <w:t>结算费用=单个项目基准费用×中标折扣</w:t>
            </w:r>
            <w:r>
              <w:rPr>
                <w:rFonts w:hint="eastAsia" w:ascii="宋体" w:hAnsi="宋体" w:eastAsia="宋体" w:cs="宋体"/>
                <w:i w:val="0"/>
                <w:iCs w:val="0"/>
                <w:color w:val="auto"/>
                <w:sz w:val="24"/>
                <w:szCs w:val="24"/>
                <w:highlight w:val="none"/>
              </w:rPr>
              <w:t>，最终的结算金额</w:t>
            </w:r>
            <w:bookmarkStart w:id="0" w:name="_GoBack"/>
            <w:bookmarkEnd w:id="0"/>
            <w:r>
              <w:rPr>
                <w:rFonts w:hint="eastAsia" w:ascii="宋体" w:hAnsi="宋体" w:eastAsia="宋体" w:cs="宋体"/>
                <w:i w:val="0"/>
                <w:iCs w:val="0"/>
                <w:color w:val="auto"/>
                <w:sz w:val="24"/>
                <w:szCs w:val="24"/>
                <w:highlight w:val="none"/>
              </w:rPr>
              <w:t>按四舍五入原则精确到小数点后两位。投标报价应在合理范围之内，过低的投标报价可能被视为低于成本价而导致投标报价无效。</w:t>
            </w:r>
          </w:p>
          <w:p w14:paraId="5C78C09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5.由采购人按下列程序付款：</w:t>
            </w:r>
          </w:p>
          <w:p w14:paraId="72EA758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第一期支付比例40%：确定中标人后，应与采购人签订项目总合同，合同生效后，根据采购人下达的每项具体工作和实际委托项目费用，由采购人按照基准费用（不超过最高限价）及中标折扣计算工作费用形成交办函、签订具体项目委托协议，并向中标人支付该项工作费用的40%作为预付款。</w:t>
            </w:r>
          </w:p>
          <w:p w14:paraId="56AA4C8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第二期支付比例60%：中标人完成受委托项目的规划调整工作，经审批部门通过，且经广州市规划和自然资源局花都区分局审查通过并出具结题函后，合同约定的应由中标人履行的所有义务已经履行完毕，结算中标人完成的成果，由采购人向财政部门申请支付具体项目委托合同剩余尾款。</w:t>
            </w:r>
          </w:p>
          <w:p w14:paraId="63B022A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中标人凭以下有效文件与采购人结算：</w:t>
            </w:r>
          </w:p>
          <w:p w14:paraId="29B8E34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1．合同（双方签字盖章版）；</w:t>
            </w:r>
          </w:p>
          <w:p w14:paraId="485C1CD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2．中标人开具的正式发票；</w:t>
            </w:r>
          </w:p>
          <w:p w14:paraId="1A6E420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3．项目结题函；</w:t>
            </w:r>
          </w:p>
          <w:p w14:paraId="3F8CFD8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4.中标通知书。</w:t>
            </w:r>
          </w:p>
          <w:p w14:paraId="4681BA6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因采购人使用的是财政资金，采购人在前款规定的付款时间为向政府采购支付部门提出办理财政支付申请手续的时间（不含政府财政支付部门审核的时间），在规定时间内提出支付申请手续后即视为采购人已按期支付。</w:t>
            </w:r>
          </w:p>
          <w:p w14:paraId="0D111BC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宋体" w:hAnsi="宋体" w:eastAsia="宋体" w:cs="宋体"/>
                <w:b/>
                <w:bCs/>
                <w:i w:val="0"/>
                <w:iCs w:val="0"/>
                <w:color w:val="auto"/>
                <w:sz w:val="24"/>
                <w:szCs w:val="24"/>
                <w:highlight w:val="none"/>
              </w:rPr>
            </w:pPr>
            <w:r>
              <w:rPr>
                <w:rFonts w:hint="eastAsia" w:ascii="宋体" w:hAnsi="宋体" w:eastAsia="宋体" w:cs="宋体"/>
                <w:b/>
                <w:bCs/>
                <w:i w:val="0"/>
                <w:iCs w:val="0"/>
                <w:color w:val="auto"/>
                <w:sz w:val="24"/>
                <w:szCs w:val="24"/>
                <w:highlight w:val="none"/>
              </w:rPr>
              <w:t>七、附则</w:t>
            </w:r>
          </w:p>
          <w:p w14:paraId="518ED8E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第二十八条</w:t>
            </w:r>
            <w:r>
              <w:rPr>
                <w:rFonts w:hint="eastAsia" w:ascii="宋体" w:hAnsi="宋体" w:eastAsia="宋体" w:cs="宋体"/>
                <w:i w:val="0"/>
                <w:iCs w:val="0"/>
                <w:color w:val="auto"/>
                <w:sz w:val="24"/>
                <w:szCs w:val="24"/>
                <w:highlight w:val="none"/>
              </w:rPr>
              <w:t xml:space="preserve"> 本次规划成果的署名权归设计单位所有，版权归广州市花都区土地开发储备中心所有。广州市花都区土地开发储备中心有权在审查期间及审批后公开展示本次规划成果，并通过传播媒介、专业杂志、书刊或其它形式介绍、展示及评价规划成果。</w:t>
            </w:r>
          </w:p>
          <w:p w14:paraId="2FE539C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第二十九条</w:t>
            </w:r>
            <w:r>
              <w:rPr>
                <w:rFonts w:hint="eastAsia" w:ascii="宋体" w:hAnsi="宋体" w:eastAsia="宋体" w:cs="宋体"/>
                <w:i w:val="0"/>
                <w:iCs w:val="0"/>
                <w:color w:val="auto"/>
                <w:sz w:val="24"/>
                <w:szCs w:val="24"/>
                <w:highlight w:val="none"/>
              </w:rPr>
              <w:t xml:space="preserve"> 本次规划委托实施单位及组织单位有权根据实际需要对规划成果进行综合、优化和修改。</w:t>
            </w:r>
          </w:p>
          <w:p w14:paraId="26499C5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b/>
                <w:bCs/>
                <w:i w:val="0"/>
                <w:iCs w:val="0"/>
                <w:color w:val="auto"/>
                <w:sz w:val="24"/>
                <w:szCs w:val="24"/>
                <w:highlight w:val="none"/>
              </w:rPr>
              <w:t>第三十条</w:t>
            </w:r>
            <w:r>
              <w:rPr>
                <w:rFonts w:hint="eastAsia" w:ascii="宋体" w:hAnsi="宋体" w:eastAsia="宋体" w:cs="宋体"/>
                <w:i w:val="0"/>
                <w:iCs w:val="0"/>
                <w:color w:val="auto"/>
                <w:sz w:val="24"/>
                <w:szCs w:val="24"/>
                <w:highlight w:val="none"/>
              </w:rPr>
              <w:t xml:space="preserve"> 规划成果有下列情况之一者无效：</w:t>
            </w:r>
          </w:p>
          <w:p w14:paraId="50BB62E5">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1．提交的成果不符合本任务书规定的成果内容和格式；</w:t>
            </w:r>
          </w:p>
          <w:p w14:paraId="2E0A79A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2．未经组织单位同意而逾期送达；</w:t>
            </w:r>
          </w:p>
          <w:p w14:paraId="5899149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3．有关交通调查数据和经济技术指标严重不实；</w:t>
            </w:r>
          </w:p>
          <w:p w14:paraId="48F4AA8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4．图纸和文字辨认不清、内容不全、粗制滥造。</w:t>
            </w:r>
          </w:p>
          <w:p w14:paraId="4B5B497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iCs/>
                <w:color w:val="auto"/>
                <w:sz w:val="24"/>
                <w:szCs w:val="24"/>
                <w:highlight w:val="none"/>
              </w:rPr>
            </w:pPr>
            <w:r>
              <w:rPr>
                <w:rFonts w:hint="eastAsia" w:ascii="宋体" w:hAnsi="宋体" w:eastAsia="宋体" w:cs="宋体"/>
                <w:b/>
                <w:bCs/>
                <w:i w:val="0"/>
                <w:iCs w:val="0"/>
                <w:color w:val="auto"/>
                <w:sz w:val="24"/>
                <w:szCs w:val="24"/>
                <w:highlight w:val="none"/>
              </w:rPr>
              <w:t>第三十一条</w:t>
            </w:r>
            <w:r>
              <w:rPr>
                <w:rFonts w:hint="eastAsia" w:ascii="宋体" w:hAnsi="宋体" w:eastAsia="宋体" w:cs="宋体"/>
                <w:i w:val="0"/>
                <w:iCs w:val="0"/>
                <w:color w:val="auto"/>
                <w:sz w:val="24"/>
                <w:szCs w:val="24"/>
                <w:highlight w:val="none"/>
              </w:rPr>
              <w:t xml:space="preserve"> 本规划任务书的解释权归广州市花都区土地开发储备中心所有。</w:t>
            </w:r>
          </w:p>
        </w:tc>
        <w:tc>
          <w:tcPr>
            <w:tcW w:w="3219" w:type="dxa"/>
            <w:gridSpan w:val="2"/>
            <w:vAlign w:val="center"/>
          </w:tcPr>
          <w:p w14:paraId="34F64520">
            <w:pPr>
              <w:autoSpaceDE w:val="0"/>
              <w:autoSpaceDN w:val="0"/>
              <w:spacing w:line="360" w:lineRule="auto"/>
              <w:jc w:val="both"/>
              <w:rPr>
                <w:rFonts w:hint="eastAsia" w:ascii="宋体" w:hAnsi="宋体" w:eastAsia="宋体" w:cs="宋体"/>
                <w:snapToGrid w:val="0"/>
                <w:sz w:val="24"/>
                <w:szCs w:val="24"/>
              </w:rPr>
            </w:pPr>
            <w:r>
              <w:rPr>
                <w:rFonts w:hint="eastAsia" w:ascii="宋体" w:hAnsi="宋体" w:eastAsia="宋体" w:cs="宋体"/>
                <w:snapToGrid w:val="0"/>
                <w:sz w:val="24"/>
                <w:szCs w:val="24"/>
                <w:lang w:val="en-US" w:eastAsia="zh-CN"/>
              </w:rPr>
              <w:t>规划</w:t>
            </w:r>
            <w:r>
              <w:rPr>
                <w:rFonts w:hint="eastAsia" w:ascii="宋体" w:hAnsi="宋体" w:eastAsia="宋体" w:cs="宋体"/>
                <w:snapToGrid w:val="0"/>
                <w:sz w:val="24"/>
                <w:szCs w:val="24"/>
              </w:rPr>
              <w:t>内容是否合理？</w:t>
            </w:r>
          </w:p>
          <w:p w14:paraId="467DE320">
            <w:pPr>
              <w:autoSpaceDE w:val="0"/>
              <w:autoSpaceDN w:val="0"/>
              <w:spacing w:line="360" w:lineRule="auto"/>
              <w:jc w:val="both"/>
              <w:rPr>
                <w:rFonts w:hint="eastAsia" w:ascii="宋体" w:hAnsi="宋体" w:eastAsia="宋体" w:cs="宋体"/>
                <w:snapToGrid w:val="0"/>
                <w:sz w:val="24"/>
                <w:szCs w:val="24"/>
              </w:rPr>
            </w:pPr>
            <w:r>
              <w:rPr>
                <w:rFonts w:hint="eastAsia" w:ascii="宋体" w:hAnsi="宋体" w:eastAsia="宋体" w:cs="宋体"/>
                <w:snapToGrid w:val="0"/>
                <w:sz w:val="24"/>
                <w:szCs w:val="24"/>
              </w:rPr>
              <w:t>□完全合理</w:t>
            </w:r>
          </w:p>
          <w:p w14:paraId="0E9DD931">
            <w:pPr>
              <w:autoSpaceDE w:val="0"/>
              <w:autoSpaceDN w:val="0"/>
              <w:spacing w:line="360" w:lineRule="auto"/>
              <w:jc w:val="both"/>
              <w:rPr>
                <w:rFonts w:hint="eastAsia" w:ascii="宋体" w:hAnsi="宋体" w:eastAsia="宋体" w:cs="宋体"/>
                <w:snapToGrid w:val="0"/>
                <w:sz w:val="24"/>
                <w:szCs w:val="24"/>
              </w:rPr>
            </w:pPr>
            <w:r>
              <w:rPr>
                <w:rFonts w:hint="eastAsia" w:ascii="宋体" w:hAnsi="宋体" w:eastAsia="宋体" w:cs="宋体"/>
                <w:snapToGrid w:val="0"/>
                <w:sz w:val="24"/>
                <w:szCs w:val="24"/>
              </w:rPr>
              <w:t>□完全不合理</w:t>
            </w:r>
          </w:p>
          <w:p w14:paraId="0EFBE0AA">
            <w:pPr>
              <w:autoSpaceDE w:val="0"/>
              <w:autoSpaceDN w:val="0"/>
              <w:spacing w:line="360" w:lineRule="auto"/>
              <w:jc w:val="both"/>
              <w:rPr>
                <w:rFonts w:hint="eastAsia" w:ascii="宋体" w:hAnsi="宋体" w:eastAsia="宋体" w:cs="宋体"/>
                <w:snapToGrid w:val="0"/>
                <w:sz w:val="24"/>
                <w:szCs w:val="24"/>
                <w:u w:val="single"/>
                <w:lang w:val="en-US" w:eastAsia="zh-CN"/>
              </w:rPr>
            </w:pPr>
            <w:r>
              <w:rPr>
                <w:rFonts w:hint="eastAsia" w:ascii="宋体" w:hAnsi="宋体" w:eastAsia="宋体" w:cs="宋体"/>
                <w:snapToGrid w:val="0"/>
                <w:sz w:val="24"/>
                <w:szCs w:val="24"/>
              </w:rPr>
              <w:t>理由是：</w:t>
            </w:r>
            <w:r>
              <w:rPr>
                <w:rFonts w:hint="eastAsia" w:ascii="宋体" w:hAnsi="宋体" w:eastAsia="宋体" w:cs="宋体"/>
                <w:snapToGrid w:val="0"/>
                <w:sz w:val="24"/>
                <w:szCs w:val="24"/>
                <w:u w:val="single"/>
                <w:lang w:val="en-US" w:eastAsia="zh-CN"/>
              </w:rPr>
              <w:t xml:space="preserve">              </w:t>
            </w:r>
          </w:p>
          <w:p w14:paraId="57ACDE2A">
            <w:pPr>
              <w:autoSpaceDE w:val="0"/>
              <w:autoSpaceDN w:val="0"/>
              <w:spacing w:line="360" w:lineRule="auto"/>
              <w:jc w:val="both"/>
              <w:rPr>
                <w:rFonts w:hint="eastAsia" w:ascii="宋体" w:hAnsi="宋体" w:eastAsia="宋体" w:cs="宋体"/>
                <w:i/>
                <w:iCs/>
                <w:color w:val="auto"/>
                <w:sz w:val="24"/>
                <w:szCs w:val="24"/>
                <w:highlight w:val="none"/>
              </w:rPr>
            </w:pPr>
            <w:r>
              <w:rPr>
                <w:rFonts w:hint="eastAsia" w:ascii="宋体" w:hAnsi="宋体" w:eastAsia="宋体" w:cs="宋体"/>
                <w:snapToGrid w:val="0"/>
                <w:sz w:val="24"/>
                <w:szCs w:val="24"/>
              </w:rPr>
              <w:t>建议：</w:t>
            </w:r>
            <w:r>
              <w:rPr>
                <w:rFonts w:hint="eastAsia" w:ascii="宋体" w:hAnsi="宋体" w:eastAsia="宋体" w:cs="宋体"/>
                <w:snapToGrid w:val="0"/>
                <w:sz w:val="24"/>
                <w:szCs w:val="24"/>
                <w:u w:val="single"/>
                <w:lang w:val="en-US" w:eastAsia="zh-CN"/>
              </w:rPr>
              <w:t xml:space="preserve">              </w:t>
            </w:r>
          </w:p>
        </w:tc>
      </w:tr>
      <w:tr w14:paraId="7D5DE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2" w:hRule="atLeast"/>
          <w:jc w:val="center"/>
        </w:trPr>
        <w:tc>
          <w:tcPr>
            <w:tcW w:w="1006" w:type="dxa"/>
            <w:vAlign w:val="center"/>
          </w:tcPr>
          <w:p w14:paraId="6A3AC71A">
            <w:pPr>
              <w:jc w:val="center"/>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项目属性</w:t>
            </w:r>
          </w:p>
        </w:tc>
        <w:tc>
          <w:tcPr>
            <w:tcW w:w="5094" w:type="dxa"/>
            <w:gridSpan w:val="4"/>
            <w:vAlign w:val="center"/>
          </w:tcPr>
          <w:p w14:paraId="2132120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color w:val="auto"/>
                <w:sz w:val="24"/>
                <w:szCs w:val="24"/>
                <w:highlight w:val="none"/>
                <w:lang w:val="en-US" w:eastAsia="zh-CN"/>
              </w:rPr>
            </w:pPr>
            <w:r>
              <w:rPr>
                <w:rFonts w:hint="eastAsia" w:ascii="宋体" w:hAnsi="宋体" w:eastAsia="宋体" w:cs="宋体"/>
                <w:i w:val="0"/>
                <w:iCs/>
                <w:color w:val="auto"/>
                <w:sz w:val="24"/>
                <w:szCs w:val="24"/>
                <w:highlight w:val="none"/>
                <w:lang w:val="en-US" w:eastAsia="zh-CN"/>
              </w:rPr>
              <w:t>本项目是否适宜由中小企业提供，并专门面向中小企业采购</w:t>
            </w:r>
          </w:p>
        </w:tc>
        <w:tc>
          <w:tcPr>
            <w:tcW w:w="3219" w:type="dxa"/>
            <w:gridSpan w:val="2"/>
            <w:vAlign w:val="center"/>
          </w:tcPr>
          <w:p w14:paraId="7FEF752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i w:val="0"/>
                <w:iCs/>
                <w:color w:val="auto"/>
                <w:sz w:val="24"/>
                <w:szCs w:val="24"/>
                <w:highlight w:val="none"/>
                <w:lang w:val="en-US" w:eastAsia="zh-CN"/>
              </w:rPr>
            </w:pPr>
            <w:r>
              <w:rPr>
                <w:rFonts w:hint="eastAsia" w:ascii="宋体" w:hAnsi="宋体" w:eastAsia="宋体" w:cs="宋体"/>
                <w:i w:val="0"/>
                <w:iCs/>
                <w:color w:val="auto"/>
                <w:sz w:val="24"/>
                <w:szCs w:val="24"/>
                <w:highlight w:val="none"/>
                <w:lang w:val="en-US" w:eastAsia="zh-CN"/>
              </w:rPr>
              <w:t xml:space="preserve">□是  </w:t>
            </w:r>
          </w:p>
          <w:p w14:paraId="05332E51">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both"/>
              <w:textAlignment w:val="auto"/>
              <w:rPr>
                <w:rFonts w:hint="eastAsia" w:ascii="宋体" w:hAnsi="宋体" w:eastAsia="宋体" w:cs="宋体"/>
                <w:snapToGrid w:val="0"/>
                <w:sz w:val="24"/>
                <w:szCs w:val="24"/>
              </w:rPr>
            </w:pPr>
            <w:r>
              <w:rPr>
                <w:rFonts w:hint="eastAsia" w:ascii="宋体" w:hAnsi="宋体" w:eastAsia="宋体" w:cs="宋体"/>
                <w:i w:val="0"/>
                <w:iCs/>
                <w:color w:val="auto"/>
                <w:sz w:val="24"/>
                <w:szCs w:val="24"/>
                <w:highlight w:val="none"/>
                <w:lang w:val="en-US" w:eastAsia="zh-CN"/>
              </w:rPr>
              <w:t>□否，原因说明</w:t>
            </w:r>
            <w:r>
              <w:rPr>
                <w:rFonts w:hint="eastAsia" w:ascii="宋体" w:hAnsi="宋体" w:eastAsia="宋体" w:cs="宋体"/>
                <w:i w:val="0"/>
                <w:iCs/>
                <w:color w:val="auto"/>
                <w:sz w:val="24"/>
                <w:szCs w:val="24"/>
                <w:highlight w:val="none"/>
                <w:u w:val="single"/>
                <w:lang w:val="en-US" w:eastAsia="zh-CN"/>
              </w:rPr>
              <w:t xml:space="preserve">        </w:t>
            </w:r>
            <w:r>
              <w:rPr>
                <w:rFonts w:ascii="仿宋" w:hAnsi="仿宋" w:eastAsia="仿宋"/>
                <w:sz w:val="28"/>
                <w:szCs w:val="28"/>
                <w:u w:val="single"/>
              </w:rPr>
              <w:t xml:space="preserve">                                    </w:t>
            </w:r>
          </w:p>
        </w:tc>
      </w:tr>
      <w:tr w14:paraId="5E921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jc w:val="center"/>
        </w:trPr>
        <w:tc>
          <w:tcPr>
            <w:tcW w:w="1006" w:type="dxa"/>
            <w:vMerge w:val="restart"/>
            <w:vAlign w:val="center"/>
          </w:tcPr>
          <w:p w14:paraId="6A945B1A">
            <w:pPr>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建议</w:t>
            </w:r>
          </w:p>
        </w:tc>
        <w:tc>
          <w:tcPr>
            <w:tcW w:w="8313" w:type="dxa"/>
            <w:gridSpan w:val="6"/>
            <w:vAlign w:val="center"/>
          </w:tcPr>
          <w:p w14:paraId="77F7D15B">
            <w:pPr>
              <w:numPr>
                <w:ilvl w:val="0"/>
                <w:numId w:val="0"/>
              </w:numPr>
              <w:ind w:leftChars="0"/>
              <w:jc w:val="left"/>
              <w:rPr>
                <w:rFonts w:hint="eastAsia" w:ascii="宋体" w:hAnsi="宋体" w:eastAsia="宋体" w:cs="宋体"/>
                <w:i w:val="0"/>
                <w:iCs/>
                <w:color w:val="auto"/>
                <w:sz w:val="24"/>
                <w:szCs w:val="24"/>
                <w:highlight w:val="none"/>
                <w:lang w:val="en-US" w:eastAsia="zh-CN"/>
              </w:rPr>
            </w:pPr>
            <w:r>
              <w:rPr>
                <w:rFonts w:hint="eastAsia" w:ascii="宋体" w:hAnsi="宋体" w:eastAsia="宋体" w:cs="宋体"/>
                <w:i w:val="0"/>
                <w:iCs/>
                <w:color w:val="auto"/>
                <w:sz w:val="24"/>
                <w:szCs w:val="24"/>
                <w:highlight w:val="none"/>
                <w:lang w:val="en-US" w:eastAsia="zh-CN"/>
              </w:rPr>
              <w:t>1</w:t>
            </w:r>
            <w:r>
              <w:rPr>
                <w:rFonts w:hint="eastAsia" w:ascii="宋体" w:hAnsi="宋体" w:eastAsia="宋体" w:cs="宋体"/>
                <w:i w:val="0"/>
                <w:iCs/>
                <w:color w:val="auto"/>
                <w:sz w:val="24"/>
                <w:szCs w:val="24"/>
                <w:highlight w:val="none"/>
                <w:lang w:val="en-US"/>
              </w:rPr>
              <w:t>.</w:t>
            </w:r>
            <w:r>
              <w:rPr>
                <w:rFonts w:hint="eastAsia" w:ascii="宋体" w:hAnsi="宋体" w:eastAsia="宋体" w:cs="宋体"/>
                <w:i w:val="0"/>
                <w:iCs/>
                <w:color w:val="auto"/>
                <w:sz w:val="24"/>
                <w:szCs w:val="24"/>
                <w:highlight w:val="none"/>
              </w:rPr>
              <w:t>有利于项目实施的其他建议</w:t>
            </w:r>
          </w:p>
        </w:tc>
      </w:tr>
      <w:tr w14:paraId="375CF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jc w:val="center"/>
        </w:trPr>
        <w:tc>
          <w:tcPr>
            <w:tcW w:w="1006" w:type="dxa"/>
            <w:vMerge w:val="continue"/>
            <w:vAlign w:val="center"/>
          </w:tcPr>
          <w:p w14:paraId="56C366A2">
            <w:pPr>
              <w:jc w:val="center"/>
              <w:rPr>
                <w:rFonts w:hint="eastAsia" w:ascii="宋体" w:hAnsi="宋体" w:eastAsia="宋体" w:cs="宋体"/>
                <w:b/>
                <w:bCs/>
                <w:sz w:val="24"/>
                <w:szCs w:val="24"/>
                <w:highlight w:val="none"/>
              </w:rPr>
            </w:pPr>
          </w:p>
        </w:tc>
        <w:tc>
          <w:tcPr>
            <w:tcW w:w="8313" w:type="dxa"/>
            <w:gridSpan w:val="6"/>
            <w:vAlign w:val="top"/>
          </w:tcPr>
          <w:p w14:paraId="400ECEFE">
            <w:pPr>
              <w:jc w:val="both"/>
              <w:rPr>
                <w:rFonts w:hint="eastAsia" w:ascii="宋体" w:hAnsi="宋体" w:eastAsia="宋体" w:cs="宋体"/>
                <w:i w:val="0"/>
                <w:iCs/>
                <w:color w:val="auto"/>
                <w:sz w:val="24"/>
                <w:szCs w:val="24"/>
                <w:highlight w:val="none"/>
                <w:u w:val="single"/>
                <w:lang w:val="en-US" w:eastAsia="zh-CN"/>
              </w:rPr>
            </w:pPr>
            <w:r>
              <w:rPr>
                <w:rFonts w:hint="eastAsia" w:ascii="宋体" w:hAnsi="宋体" w:eastAsia="宋体" w:cs="宋体"/>
                <w:i w:val="0"/>
                <w:iCs/>
                <w:color w:val="auto"/>
                <w:sz w:val="24"/>
                <w:szCs w:val="24"/>
                <w:highlight w:val="none"/>
                <w:lang w:val="en-US" w:eastAsia="zh-CN"/>
              </w:rPr>
              <w:t>答：</w:t>
            </w:r>
          </w:p>
        </w:tc>
      </w:tr>
    </w:tbl>
    <w:p w14:paraId="79A89C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s="宋体"/>
          <w:sz w:val="24"/>
          <w:szCs w:val="24"/>
          <w:highlight w:val="none"/>
        </w:rPr>
      </w:pPr>
      <w:r>
        <w:rPr>
          <w:rFonts w:hint="eastAsia" w:ascii="宋体" w:hAnsi="宋体" w:eastAsia="宋体" w:cs="宋体"/>
          <w:sz w:val="24"/>
          <w:szCs w:val="24"/>
          <w:highlight w:val="none"/>
        </w:rPr>
        <w:t>注：按表格中要求的调查项，根据实际情况进行填写。贵单位可在“建议”处提出贵单位对本项目采购需求的意见或建议；若无任何意见或建议的，请在对应项处填写“无”。</w:t>
      </w:r>
    </w:p>
    <w:p w14:paraId="0CA75E8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s="宋体"/>
          <w:sz w:val="24"/>
          <w:szCs w:val="24"/>
          <w:highlight w:val="none"/>
        </w:rPr>
      </w:pPr>
    </w:p>
    <w:p w14:paraId="74C38D6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ascii="宋体" w:hAnsi="宋体" w:eastAsia="宋体" w:cs="宋体"/>
          <w:i/>
          <w:iCs/>
          <w:sz w:val="24"/>
          <w:szCs w:val="24"/>
          <w:highlight w:val="none"/>
        </w:rPr>
      </w:pPr>
      <w:r>
        <w:rPr>
          <w:rFonts w:hint="eastAsia" w:ascii="宋体" w:hAnsi="宋体" w:eastAsia="宋体" w:cs="宋体"/>
          <w:i w:val="0"/>
          <w:iCs w:val="0"/>
          <w:sz w:val="24"/>
          <w:szCs w:val="24"/>
          <w:highlight w:val="none"/>
        </w:rPr>
        <w:t>（</w:t>
      </w:r>
      <w:r>
        <w:rPr>
          <w:rFonts w:hint="eastAsia" w:ascii="宋体" w:hAnsi="宋体" w:eastAsia="宋体" w:cs="宋体"/>
          <w:i w:val="0"/>
          <w:iCs w:val="0"/>
          <w:sz w:val="24"/>
          <w:szCs w:val="24"/>
          <w:highlight w:val="none"/>
          <w:lang w:val="en-US" w:eastAsia="zh-CN"/>
        </w:rPr>
        <w:t>服务商</w:t>
      </w:r>
      <w:r>
        <w:rPr>
          <w:rFonts w:hint="eastAsia" w:ascii="宋体" w:hAnsi="宋体" w:eastAsia="宋体" w:cs="宋体"/>
          <w:i w:val="0"/>
          <w:iCs w:val="0"/>
          <w:sz w:val="24"/>
          <w:szCs w:val="24"/>
          <w:highlight w:val="none"/>
        </w:rPr>
        <w:t>名称）</w:t>
      </w:r>
    </w:p>
    <w:p w14:paraId="306335C2">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ascii="宋体" w:hAnsi="宋体" w:eastAsia="宋体" w:cs="宋体"/>
          <w:sz w:val="24"/>
          <w:szCs w:val="24"/>
          <w:highlight w:val="none"/>
        </w:rPr>
      </w:pPr>
      <w:r>
        <w:rPr>
          <w:rFonts w:hint="eastAsia" w:ascii="宋体" w:hAnsi="宋体" w:eastAsia="宋体" w:cs="宋体"/>
          <w:sz w:val="24"/>
          <w:szCs w:val="24"/>
          <w:highlight w:val="none"/>
        </w:rPr>
        <w:t>（盖章）</w:t>
      </w:r>
    </w:p>
    <w:p w14:paraId="2ECE6F4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right"/>
        <w:textAlignment w:val="auto"/>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20</w:t>
      </w:r>
      <w:r>
        <w:rPr>
          <w:rFonts w:hint="eastAsia" w:ascii="宋体" w:hAnsi="宋体" w:eastAsia="宋体" w:cs="宋体"/>
          <w:color w:val="auto"/>
          <w:sz w:val="24"/>
          <w:szCs w:val="24"/>
          <w:highlight w:val="none"/>
          <w:lang w:val="en-US" w:eastAsia="zh-CN"/>
        </w:rPr>
        <w:t>26</w:t>
      </w:r>
      <w:r>
        <w:rPr>
          <w:rFonts w:hint="eastAsia" w:ascii="宋体" w:hAnsi="宋体" w:eastAsia="宋体" w:cs="宋体"/>
          <w:color w:val="auto"/>
          <w:sz w:val="24"/>
          <w:szCs w:val="24"/>
          <w:highlight w:val="none"/>
        </w:rPr>
        <w:t>年</w:t>
      </w:r>
      <w:r>
        <w:rPr>
          <w:rFonts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rPr>
        <w:t>月</w:t>
      </w:r>
      <w:r>
        <w:rPr>
          <w:rFonts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rPr>
        <w:t>日</w:t>
      </w:r>
    </w:p>
    <w:sectPr>
      <w:footerReference r:id="rId3" w:type="default"/>
      <w:pgSz w:w="11906" w:h="16838"/>
      <w:pgMar w:top="1440" w:right="1286" w:bottom="1440" w:left="13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135A9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8D861A">
                          <w:pPr>
                            <w:pStyle w:val="1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D8D861A">
                    <w:pPr>
                      <w:pStyle w:val="11"/>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JiOGM4Nzc2NWIyMzQxMmM0ZGUxNWYxYTk1ZjNiMmIifQ=="/>
  </w:docVars>
  <w:rsids>
    <w:rsidRoot w:val="00E50788"/>
    <w:rsid w:val="00016C5A"/>
    <w:rsid w:val="0004484A"/>
    <w:rsid w:val="00046B38"/>
    <w:rsid w:val="00076A97"/>
    <w:rsid w:val="000964F3"/>
    <w:rsid w:val="001535D2"/>
    <w:rsid w:val="00157229"/>
    <w:rsid w:val="00191D51"/>
    <w:rsid w:val="00193B88"/>
    <w:rsid w:val="00196C8F"/>
    <w:rsid w:val="001B5D6B"/>
    <w:rsid w:val="001C57C6"/>
    <w:rsid w:val="001C7B06"/>
    <w:rsid w:val="001E780E"/>
    <w:rsid w:val="00280B54"/>
    <w:rsid w:val="002E0263"/>
    <w:rsid w:val="00357174"/>
    <w:rsid w:val="00385D0C"/>
    <w:rsid w:val="003951A3"/>
    <w:rsid w:val="003A245D"/>
    <w:rsid w:val="00441E4A"/>
    <w:rsid w:val="00486050"/>
    <w:rsid w:val="00495DF3"/>
    <w:rsid w:val="00511256"/>
    <w:rsid w:val="005408AB"/>
    <w:rsid w:val="005818BB"/>
    <w:rsid w:val="005E4603"/>
    <w:rsid w:val="005E52B7"/>
    <w:rsid w:val="00672F11"/>
    <w:rsid w:val="00676C31"/>
    <w:rsid w:val="00702CE2"/>
    <w:rsid w:val="007629DB"/>
    <w:rsid w:val="00772946"/>
    <w:rsid w:val="007B037D"/>
    <w:rsid w:val="007B41C8"/>
    <w:rsid w:val="007C3707"/>
    <w:rsid w:val="007C5C7D"/>
    <w:rsid w:val="007C7EE4"/>
    <w:rsid w:val="008044DD"/>
    <w:rsid w:val="00855ED1"/>
    <w:rsid w:val="008A70D1"/>
    <w:rsid w:val="008B6E3C"/>
    <w:rsid w:val="008F2DB3"/>
    <w:rsid w:val="0091618D"/>
    <w:rsid w:val="00945C6A"/>
    <w:rsid w:val="009B2183"/>
    <w:rsid w:val="009B534D"/>
    <w:rsid w:val="009E3AF9"/>
    <w:rsid w:val="009E5511"/>
    <w:rsid w:val="00A1094F"/>
    <w:rsid w:val="00A56259"/>
    <w:rsid w:val="00A60224"/>
    <w:rsid w:val="00A77359"/>
    <w:rsid w:val="00A904D5"/>
    <w:rsid w:val="00AD3FE1"/>
    <w:rsid w:val="00B170B4"/>
    <w:rsid w:val="00B262BD"/>
    <w:rsid w:val="00B27B6D"/>
    <w:rsid w:val="00B30601"/>
    <w:rsid w:val="00B43986"/>
    <w:rsid w:val="00BA2F70"/>
    <w:rsid w:val="00BB065D"/>
    <w:rsid w:val="00C56938"/>
    <w:rsid w:val="00C75E46"/>
    <w:rsid w:val="00CB2F1F"/>
    <w:rsid w:val="00D213A9"/>
    <w:rsid w:val="00D66EE2"/>
    <w:rsid w:val="00D86E75"/>
    <w:rsid w:val="00DC2D32"/>
    <w:rsid w:val="00DD0D3B"/>
    <w:rsid w:val="00DE39CB"/>
    <w:rsid w:val="00DF6CA3"/>
    <w:rsid w:val="00E12662"/>
    <w:rsid w:val="00E34C66"/>
    <w:rsid w:val="00E44190"/>
    <w:rsid w:val="00E50788"/>
    <w:rsid w:val="00E64DCD"/>
    <w:rsid w:val="00EA398A"/>
    <w:rsid w:val="00EC6FBB"/>
    <w:rsid w:val="00F17E41"/>
    <w:rsid w:val="00F241EE"/>
    <w:rsid w:val="00F405A6"/>
    <w:rsid w:val="00F56583"/>
    <w:rsid w:val="00F832CA"/>
    <w:rsid w:val="00FA1BF2"/>
    <w:rsid w:val="00FA6781"/>
    <w:rsid w:val="00FB5E8C"/>
    <w:rsid w:val="02667537"/>
    <w:rsid w:val="03B35E2A"/>
    <w:rsid w:val="07ED4792"/>
    <w:rsid w:val="092E5FA7"/>
    <w:rsid w:val="0C0C1342"/>
    <w:rsid w:val="0FC67B3E"/>
    <w:rsid w:val="11653AE0"/>
    <w:rsid w:val="14EF7848"/>
    <w:rsid w:val="15D7572C"/>
    <w:rsid w:val="162B6CC0"/>
    <w:rsid w:val="17621688"/>
    <w:rsid w:val="17E954C1"/>
    <w:rsid w:val="1BFA70E3"/>
    <w:rsid w:val="1C773476"/>
    <w:rsid w:val="1D1C6601"/>
    <w:rsid w:val="1DD81A6D"/>
    <w:rsid w:val="206C6ADE"/>
    <w:rsid w:val="245D1602"/>
    <w:rsid w:val="253947D8"/>
    <w:rsid w:val="27ED2B6B"/>
    <w:rsid w:val="28C56A08"/>
    <w:rsid w:val="28CF2DFA"/>
    <w:rsid w:val="2AC50E63"/>
    <w:rsid w:val="2C61638A"/>
    <w:rsid w:val="2CF364CA"/>
    <w:rsid w:val="2F70684F"/>
    <w:rsid w:val="32154B5B"/>
    <w:rsid w:val="33360AF3"/>
    <w:rsid w:val="35006AD2"/>
    <w:rsid w:val="3BA2647D"/>
    <w:rsid w:val="3E6340D2"/>
    <w:rsid w:val="3EF26298"/>
    <w:rsid w:val="3F954262"/>
    <w:rsid w:val="3FF20104"/>
    <w:rsid w:val="43092072"/>
    <w:rsid w:val="442E2B89"/>
    <w:rsid w:val="45AC653A"/>
    <w:rsid w:val="46AD44FF"/>
    <w:rsid w:val="46FA0505"/>
    <w:rsid w:val="47C37366"/>
    <w:rsid w:val="48585503"/>
    <w:rsid w:val="48594B98"/>
    <w:rsid w:val="49E6605C"/>
    <w:rsid w:val="4AE90760"/>
    <w:rsid w:val="4BCE3924"/>
    <w:rsid w:val="4C785F34"/>
    <w:rsid w:val="4EB948E2"/>
    <w:rsid w:val="4EEE5506"/>
    <w:rsid w:val="50F1090E"/>
    <w:rsid w:val="524758F6"/>
    <w:rsid w:val="5270174A"/>
    <w:rsid w:val="53114443"/>
    <w:rsid w:val="54201B86"/>
    <w:rsid w:val="54AB2852"/>
    <w:rsid w:val="559F1D86"/>
    <w:rsid w:val="57F7045E"/>
    <w:rsid w:val="58A2271F"/>
    <w:rsid w:val="5ADF26A5"/>
    <w:rsid w:val="5B617EDA"/>
    <w:rsid w:val="5C8855A9"/>
    <w:rsid w:val="5C99163E"/>
    <w:rsid w:val="5DC668DD"/>
    <w:rsid w:val="5DCF5207"/>
    <w:rsid w:val="5DD62B9F"/>
    <w:rsid w:val="5F5F3876"/>
    <w:rsid w:val="5F8B27B2"/>
    <w:rsid w:val="601C0064"/>
    <w:rsid w:val="60591866"/>
    <w:rsid w:val="605A7E63"/>
    <w:rsid w:val="60E455D3"/>
    <w:rsid w:val="63220BEC"/>
    <w:rsid w:val="63B12B81"/>
    <w:rsid w:val="657D6BEF"/>
    <w:rsid w:val="65DE58E6"/>
    <w:rsid w:val="672B5804"/>
    <w:rsid w:val="67F94F4D"/>
    <w:rsid w:val="6CB11F92"/>
    <w:rsid w:val="6D661494"/>
    <w:rsid w:val="6DE1279B"/>
    <w:rsid w:val="6F0D6B7F"/>
    <w:rsid w:val="71367DFF"/>
    <w:rsid w:val="72624364"/>
    <w:rsid w:val="72CA3AB4"/>
    <w:rsid w:val="74BC5ADD"/>
    <w:rsid w:val="759F0CD3"/>
    <w:rsid w:val="75EC531A"/>
    <w:rsid w:val="765A3FFA"/>
    <w:rsid w:val="76B37ACA"/>
    <w:rsid w:val="76E870CF"/>
    <w:rsid w:val="78223436"/>
    <w:rsid w:val="79EF42AB"/>
    <w:rsid w:val="7A0C5E4E"/>
    <w:rsid w:val="7B3457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qFormat/>
    <w:uiPriority w:val="0"/>
    <w:pPr>
      <w:keepNext/>
      <w:outlineLvl w:val="2"/>
    </w:pPr>
    <w:rPr>
      <w:rFonts w:ascii="楷体_GB2312" w:hAnsi="宋体" w:eastAsia="黑体"/>
      <w:b/>
      <w:bCs/>
      <w:sz w:val="32"/>
    </w:rPr>
  </w:style>
  <w:style w:type="character" w:default="1" w:styleId="16">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firstLineChars="200"/>
    </w:pPr>
  </w:style>
  <w:style w:type="paragraph" w:styleId="4">
    <w:name w:val="annotation text"/>
    <w:basedOn w:val="1"/>
    <w:link w:val="21"/>
    <w:qFormat/>
    <w:uiPriority w:val="99"/>
    <w:pPr>
      <w:jc w:val="left"/>
    </w:pPr>
    <w:rPr>
      <w:rFonts w:ascii="Calibri" w:hAnsi="Calibri" w:eastAsia="宋体" w:cs="Times New Roman"/>
      <w:szCs w:val="24"/>
    </w:rPr>
  </w:style>
  <w:style w:type="paragraph" w:styleId="5">
    <w:name w:val="Body Text"/>
    <w:basedOn w:val="1"/>
    <w:next w:val="6"/>
    <w:qFormat/>
    <w:uiPriority w:val="0"/>
    <w:pPr>
      <w:spacing w:after="120"/>
    </w:pPr>
  </w:style>
  <w:style w:type="paragraph" w:styleId="6">
    <w:name w:val="Body Text 2"/>
    <w:basedOn w:val="1"/>
    <w:qFormat/>
    <w:uiPriority w:val="0"/>
  </w:style>
  <w:style w:type="paragraph" w:styleId="7">
    <w:name w:val="Body Text Indent"/>
    <w:basedOn w:val="1"/>
    <w:next w:val="8"/>
    <w:qFormat/>
    <w:uiPriority w:val="0"/>
    <w:pPr>
      <w:spacing w:after="120"/>
      <w:ind w:left="420" w:leftChars="200"/>
    </w:pPr>
  </w:style>
  <w:style w:type="paragraph" w:styleId="8">
    <w:name w:val="envelope return"/>
    <w:basedOn w:val="1"/>
    <w:qFormat/>
    <w:uiPriority w:val="0"/>
    <w:pPr>
      <w:snapToGrid w:val="0"/>
    </w:pPr>
    <w:rPr>
      <w:rFonts w:ascii="Arial" w:hAnsi="Arial"/>
    </w:rPr>
  </w:style>
  <w:style w:type="paragraph" w:styleId="9">
    <w:name w:val="Plain Text"/>
    <w:basedOn w:val="1"/>
    <w:qFormat/>
    <w:uiPriority w:val="99"/>
    <w:rPr>
      <w:rFonts w:ascii="宋体" w:hAnsi="Courier New"/>
    </w:rPr>
  </w:style>
  <w:style w:type="paragraph" w:styleId="10">
    <w:name w:val="Balloon Text"/>
    <w:basedOn w:val="1"/>
    <w:link w:val="22"/>
    <w:unhideWhenUsed/>
    <w:qFormat/>
    <w:uiPriority w:val="99"/>
    <w:rPr>
      <w:sz w:val="18"/>
      <w:szCs w:val="18"/>
    </w:rPr>
  </w:style>
  <w:style w:type="paragraph" w:styleId="11">
    <w:name w:val="footer"/>
    <w:basedOn w:val="1"/>
    <w:link w:val="24"/>
    <w:unhideWhenUsed/>
    <w:qFormat/>
    <w:uiPriority w:val="99"/>
    <w:pPr>
      <w:tabs>
        <w:tab w:val="center" w:pos="4153"/>
        <w:tab w:val="right" w:pos="8306"/>
      </w:tabs>
      <w:snapToGrid w:val="0"/>
      <w:jc w:val="left"/>
    </w:pPr>
    <w:rPr>
      <w:sz w:val="18"/>
      <w:szCs w:val="18"/>
    </w:rPr>
  </w:style>
  <w:style w:type="paragraph" w:styleId="12">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Body Text First Indent 2"/>
    <w:basedOn w:val="7"/>
    <w:next w:val="1"/>
    <w:qFormat/>
    <w:uiPriority w:val="0"/>
    <w:pPr>
      <w:widowControl/>
      <w:spacing w:after="120"/>
      <w:ind w:leftChars="200" w:firstLine="420" w:firstLineChars="200"/>
      <w:jc w:val="left"/>
    </w:pPr>
    <w:rPr>
      <w:rFonts w:ascii="Times New Roman" w:hAnsi="Times New Roman"/>
    </w:rPr>
  </w:style>
  <w:style w:type="table" w:styleId="15">
    <w:name w:val="Table Grid"/>
    <w:basedOn w:val="14"/>
    <w:qFormat/>
    <w:uiPriority w:val="3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7">
    <w:name w:val="annotation reference"/>
    <w:basedOn w:val="16"/>
    <w:qFormat/>
    <w:uiPriority w:val="99"/>
    <w:rPr>
      <w:sz w:val="21"/>
      <w:szCs w:val="21"/>
    </w:rPr>
  </w:style>
  <w:style w:type="paragraph" w:customStyle="1" w:styleId="18">
    <w:name w:val="_Style 3"/>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9">
    <w:name w:val="Table Paragraph"/>
    <w:basedOn w:val="1"/>
    <w:qFormat/>
    <w:uiPriority w:val="1"/>
    <w:pPr>
      <w:autoSpaceDE w:val="0"/>
      <w:autoSpaceDN w:val="0"/>
      <w:adjustRightInd w:val="0"/>
      <w:spacing w:line="360" w:lineRule="auto"/>
      <w:ind w:firstLine="200" w:firstLineChars="200"/>
    </w:pPr>
    <w:rPr>
      <w:rFonts w:ascii="宋体" w:hAnsi="Times New Roman" w:eastAsia="宋体" w:cs="宋体"/>
      <w:kern w:val="0"/>
      <w:sz w:val="24"/>
      <w:szCs w:val="24"/>
    </w:rPr>
  </w:style>
  <w:style w:type="character" w:customStyle="1" w:styleId="20">
    <w:name w:val="批注文字 字符"/>
    <w:basedOn w:val="16"/>
    <w:semiHidden/>
    <w:qFormat/>
    <w:uiPriority w:val="99"/>
  </w:style>
  <w:style w:type="character" w:customStyle="1" w:styleId="21">
    <w:name w:val="批注文字 字符1"/>
    <w:basedOn w:val="16"/>
    <w:link w:val="4"/>
    <w:qFormat/>
    <w:uiPriority w:val="99"/>
    <w:rPr>
      <w:rFonts w:ascii="Calibri" w:hAnsi="Calibri" w:eastAsia="宋体" w:cs="Times New Roman"/>
      <w:szCs w:val="24"/>
    </w:rPr>
  </w:style>
  <w:style w:type="character" w:customStyle="1" w:styleId="22">
    <w:name w:val="批注框文本 字符"/>
    <w:basedOn w:val="16"/>
    <w:link w:val="10"/>
    <w:semiHidden/>
    <w:qFormat/>
    <w:uiPriority w:val="99"/>
    <w:rPr>
      <w:sz w:val="18"/>
      <w:szCs w:val="18"/>
    </w:rPr>
  </w:style>
  <w:style w:type="character" w:customStyle="1" w:styleId="23">
    <w:name w:val="页眉 字符"/>
    <w:basedOn w:val="16"/>
    <w:link w:val="12"/>
    <w:qFormat/>
    <w:uiPriority w:val="99"/>
    <w:rPr>
      <w:sz w:val="18"/>
      <w:szCs w:val="18"/>
    </w:rPr>
  </w:style>
  <w:style w:type="character" w:customStyle="1" w:styleId="24">
    <w:name w:val="页脚 字符"/>
    <w:basedOn w:val="16"/>
    <w:link w:val="11"/>
    <w:qFormat/>
    <w:uiPriority w:val="99"/>
    <w:rPr>
      <w:sz w:val="18"/>
      <w:szCs w:val="18"/>
    </w:rPr>
  </w:style>
  <w:style w:type="paragraph" w:customStyle="1" w:styleId="25">
    <w:name w:val="列出段落1"/>
    <w:basedOn w:val="1"/>
    <w:qFormat/>
    <w:uiPriority w:val="0"/>
    <w:pPr>
      <w:ind w:firstLine="420" w:firstLineChars="200"/>
    </w:pPr>
    <w:rPr>
      <w:rFonts w:ascii="Calibri" w:hAnsi="Calibri" w:eastAsia="宋体" w:cs="Times New Roman"/>
    </w:rPr>
  </w:style>
  <w:style w:type="paragraph" w:customStyle="1" w:styleId="26">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5136</Words>
  <Characters>5304</Characters>
  <Lines>11</Lines>
  <Paragraphs>3</Paragraphs>
  <TotalTime>23</TotalTime>
  <ScaleCrop>false</ScaleCrop>
  <LinksUpToDate>false</LinksUpToDate>
  <CharactersWithSpaces>5421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2021-08-19T07:00:00Z</dcterms:created>
  <dc:creator>华伦</dc:creator>
  <cp:lastModifiedBy>招标代理</cp:lastModifiedBy>
  <cp:lastPrinted>2023-07-05T03:03:00Z</cp:lastPrinted>
  <dcterms:modified xsi:type="dcterms:W3CDTF">2026-03-27T00:56:52Z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ECC786899E984EA0AA00FC8A2C0F77B6_13</vt:lpwstr>
  </property>
  <property fmtid="{D5CDD505-2E9C-101B-9397-08002B2CF9AE}" pid="4" name="KSOTemplateDocerSaveRecord">
    <vt:lpwstr>eyJoZGlkIjoiMWY0NmY3Njg2YzM4MWJlZjU4NTg0ZTI5YjRhZTRmMzciLCJ1c2VySWQiOiIyMzQwMDg3NzQifQ==</vt:lpwstr>
  </property>
</Properties>
</file>