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tblpY="1"/>
        <w:tblOverlap w:val="never"/>
        <w:tblW w:w="96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1417"/>
        <w:gridCol w:w="1276"/>
        <w:gridCol w:w="1708"/>
        <w:gridCol w:w="1701"/>
        <w:gridCol w:w="2161"/>
      </w:tblGrid>
      <w:tr w14:paraId="50A21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2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2B55C">
            <w:pPr>
              <w:adjustRightInd w:val="0"/>
              <w:snapToGrid w:val="0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仪器设备名称</w:t>
            </w:r>
          </w:p>
          <w:p w14:paraId="11945833">
            <w:pPr>
              <w:adjustRightInd w:val="0"/>
              <w:snapToGrid w:val="0"/>
              <w:spacing w:line="240" w:lineRule="auto"/>
              <w:ind w:firstLine="708" w:firstLineChars="300"/>
              <w:rPr>
                <w:sz w:val="24"/>
              </w:rPr>
            </w:pPr>
            <w:r>
              <w:rPr>
                <w:sz w:val="24"/>
              </w:rPr>
              <w:t>（中英文）</w:t>
            </w:r>
          </w:p>
        </w:tc>
        <w:tc>
          <w:tcPr>
            <w:tcW w:w="68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864D6">
            <w:pPr>
              <w:adjustRightInd w:val="0"/>
              <w:snapToGrid w:val="0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深水多参数长期观测工作站</w:t>
            </w:r>
          </w:p>
          <w:p w14:paraId="74112414">
            <w:pPr>
              <w:adjustRightInd w:val="0"/>
              <w:snapToGrid w:val="0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Deep-sea multiparameter long-term monitoring station</w:t>
            </w:r>
          </w:p>
        </w:tc>
      </w:tr>
      <w:tr w14:paraId="4D0B7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9C2FD">
            <w:pPr>
              <w:adjustRightInd w:val="0"/>
              <w:snapToGrid w:val="0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安放地点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A5F64">
            <w:pPr>
              <w:adjustRightInd w:val="0"/>
              <w:snapToGrid w:val="0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科技南楼104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A665B">
            <w:pPr>
              <w:adjustRightInd w:val="0"/>
              <w:snapToGrid w:val="0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国产/进口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58188">
            <w:pPr>
              <w:adjustRightInd w:val="0"/>
              <w:snapToGrid w:val="0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国产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71B64">
            <w:pPr>
              <w:adjustRightInd w:val="0"/>
              <w:snapToGrid w:val="0"/>
              <w:spacing w:line="240" w:lineRule="auto"/>
              <w:jc w:val="center"/>
              <w:rPr>
                <w:sz w:val="24"/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国别</w:t>
            </w: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2B521">
            <w:pPr>
              <w:adjustRightInd w:val="0"/>
              <w:snapToGrid w:val="0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中国</w:t>
            </w:r>
          </w:p>
        </w:tc>
      </w:tr>
      <w:tr w14:paraId="44E6B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41559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单价</w:t>
            </w:r>
          </w:p>
          <w:p w14:paraId="2C37EB6F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（人民币，万元）</w:t>
            </w:r>
          </w:p>
          <w:p w14:paraId="1F53C8A2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4A566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1255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A1CE3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数量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2FA6B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DBF6D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总金额 （人民币，万元）</w:t>
            </w: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58971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3765</w:t>
            </w:r>
          </w:p>
        </w:tc>
      </w:tr>
      <w:tr w14:paraId="55E35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7" w:hRule="atLeast"/>
        </w:trPr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618F9414">
            <w:pPr>
              <w:snapToGrid w:val="0"/>
              <w:spacing w:line="300" w:lineRule="exact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技术需求及相关参数</w:t>
            </w:r>
          </w:p>
        </w:tc>
        <w:tc>
          <w:tcPr>
            <w:tcW w:w="82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30BF32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主体技术指标：</w:t>
            </w:r>
          </w:p>
          <w:p w14:paraId="5523CBA3">
            <w:pPr>
              <w:snapToGrid w:val="0"/>
              <w:spacing w:line="300" w:lineRule="exact"/>
              <w:ind w:firstLine="472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本设备为6000 m级深水多参数长期观测工作站，主要用于深海冷泉、海底渗漏区、深海生态环境和天然气水合物相关区域的长期原位观测。系统应具备深海坐底长期自主运行、多参数水文/化学/气体监测、气泡光学与声学联合计量、原位光谱探测、声学通信定位、声学释放回收及ROV备用回收能力。系统采用模块化开放式承载框架、耐压电子舱、电池舱、浮力与压载释放系统、多传感器载荷和任务调度软件组成，可满足最长12个月部署需求。</w:t>
            </w:r>
          </w:p>
          <w:p w14:paraId="59480A53">
            <w:pPr>
              <w:snapToGrid w:val="0"/>
              <w:spacing w:line="300" w:lineRule="exact"/>
              <w:ind w:firstLine="472" w:firstLineChars="200"/>
              <w:rPr>
                <w:sz w:val="24"/>
              </w:rPr>
            </w:pPr>
          </w:p>
          <w:p w14:paraId="3BC0F163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一、总体平台与结构指标</w:t>
            </w:r>
          </w:p>
          <w:p w14:paraId="73F937A2">
            <w:pPr>
              <w:pStyle w:val="10"/>
              <w:numPr>
                <w:ilvl w:val="0"/>
                <w:numId w:val="1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工作水深：不低于6000 m；外置传感器、耐压电子舱、电池舱、接插件、光学窗口等关键部件应满足6000 m级深海环境使用要求。</w:t>
            </w:r>
          </w:p>
          <w:p w14:paraId="3AD8256F">
            <w:pPr>
              <w:pStyle w:val="10"/>
              <w:numPr>
                <w:ilvl w:val="0"/>
                <w:numId w:val="1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主体框架：开放式模块化Lander框架，适用于6000 m深海静水压力、低温、高盐、腐蚀和长期坐底环境；框架应具备吊装、布放、回收、传感器安装和ROV操作接口。</w:t>
            </w:r>
          </w:p>
          <w:p w14:paraId="1120D63D">
            <w:pPr>
              <w:pStyle w:val="10"/>
              <w:numPr>
                <w:ilvl w:val="0"/>
                <w:numId w:val="1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载荷能力：系统有效载荷能力不低于1000 kg，可支撑多源观测载荷、原位实验模块、成像照明单元、声学单元和扩展接口的整体安装。</w:t>
            </w:r>
          </w:p>
          <w:p w14:paraId="33C79D81">
            <w:pPr>
              <w:pStyle w:val="10"/>
              <w:numPr>
                <w:ilvl w:val="0"/>
                <w:numId w:val="1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部署周期：最长连续部署时间不低于12个月，系统应通过低功耗任务调度、分级采样、事件触发和状态保护策略实现长期自主运行。</w:t>
            </w:r>
          </w:p>
          <w:p w14:paraId="0BF23250">
            <w:pPr>
              <w:pStyle w:val="10"/>
              <w:numPr>
                <w:ilvl w:val="0"/>
                <w:numId w:val="1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坐底适应性：系统应具备防倾覆、防沉陷、抗腐蚀、抗冲击和姿态状态监测能力，适用于冷泉区软沉积物、复杂地形和长期海水浸泡环境。</w:t>
            </w:r>
          </w:p>
          <w:p w14:paraId="6580CF5F">
            <w:pPr>
              <w:pStyle w:val="10"/>
              <w:numPr>
                <w:ilvl w:val="0"/>
                <w:numId w:val="1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工程完整性：主体框架、浮力、压载、吊装、回收、ROV操作接口、载荷安装位和线缆防护应进行整体布局设计，保证整机结构、电气、控制、数据和回收流程协调一致。</w:t>
            </w:r>
          </w:p>
          <w:p w14:paraId="19A06514">
            <w:pPr>
              <w:snapToGrid w:val="0"/>
              <w:spacing w:line="300" w:lineRule="exact"/>
              <w:ind w:firstLine="472" w:firstLineChars="200"/>
              <w:rPr>
                <w:sz w:val="24"/>
              </w:rPr>
            </w:pPr>
          </w:p>
          <w:p w14:paraId="39526384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二、能源供给与长期任务管理能力</w:t>
            </w:r>
          </w:p>
          <w:p w14:paraId="28C0A216">
            <w:pPr>
              <w:pStyle w:val="10"/>
              <w:numPr>
                <w:ilvl w:val="0"/>
                <w:numId w:val="2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系统应配置满足12个月任务剖面的深海能源供给与电源管理单元，电池容量应结合观测频率、照明时长、声学工作周期、光谱实验窗口和安全冗余进行整体核算。</w:t>
            </w:r>
          </w:p>
          <w:p w14:paraId="0116E563">
            <w:pPr>
              <w:pStyle w:val="10"/>
              <w:numPr>
                <w:ilvl w:val="0"/>
                <w:numId w:val="2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系统应支持基础观测长期低功耗运行，高功耗任务按定时、事件触发或人工指令方式短时运行，避免相机、照明、声学成像和光谱载荷全年连续开启。</w:t>
            </w:r>
          </w:p>
          <w:p w14:paraId="666AADB3">
            <w:pPr>
              <w:pStyle w:val="10"/>
              <w:numPr>
                <w:ilvl w:val="0"/>
                <w:numId w:val="2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系统应具备分级供电和独立控制能力，关键功能模块应支持独立上电、断电、状态记录和异常保护。整机应提供不少于8路可控供电或等效分级供电能力，以满足多任务载荷的统一管理需求。</w:t>
            </w:r>
          </w:p>
          <w:p w14:paraId="2596A8B6">
            <w:pPr>
              <w:pStyle w:val="10"/>
              <w:numPr>
                <w:ilvl w:val="0"/>
                <w:numId w:val="2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系统应具备功耗监测、电池电量估算、供电状态记录和低电量保护功能。电源管理系统应能够记录主要任务阶段的电压、电流、功耗和运行状态，为回收后能耗评估提供依据。</w:t>
            </w:r>
          </w:p>
          <w:p w14:paraId="1FD316A6">
            <w:pPr>
              <w:pStyle w:val="10"/>
              <w:numPr>
                <w:ilvl w:val="0"/>
                <w:numId w:val="2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当出现低电量、舱内异常、姿态异常、存储异常、通信异常或任务执行异常时，系统应自动进入保护策略，优先保障平台状态记录、关键环境数据保存、声学响应、释放回收和安全上浮功能。</w:t>
            </w:r>
          </w:p>
          <w:p w14:paraId="0018B18E">
            <w:pPr>
              <w:pStyle w:val="10"/>
              <w:numPr>
                <w:ilvl w:val="0"/>
                <w:numId w:val="2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系统应提供部署前任务剖面仿真或能耗核算报告，明确在典型观测模式下满足12个月长期部署的可行性，并建议预留不低于10%～20%的能源安全冗余。</w:t>
            </w:r>
          </w:p>
          <w:p w14:paraId="4E60407E">
            <w:pPr>
              <w:snapToGrid w:val="0"/>
              <w:spacing w:line="300" w:lineRule="exact"/>
              <w:ind w:left="472"/>
              <w:rPr>
                <w:sz w:val="24"/>
              </w:rPr>
            </w:pPr>
          </w:p>
          <w:p w14:paraId="5D970C8C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三、数据采集、控制与存储能力</w:t>
            </w:r>
          </w:p>
          <w:p w14:paraId="06C9381F">
            <w:pPr>
              <w:pStyle w:val="10"/>
              <w:numPr>
                <w:ilvl w:val="0"/>
                <w:numId w:val="3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系统应具备多源观测数据的统一采集、统一时间戳、统一任务调度和统一状态管理能力，能够实现平台状态、水文动力、气体化学、光学成像、声学观测、气泡过程、原位光谱和运维日志等数据的协同记录。</w:t>
            </w:r>
          </w:p>
          <w:p w14:paraId="707AA7E5">
            <w:pPr>
              <w:pStyle w:val="10"/>
              <w:numPr>
                <w:ilvl w:val="0"/>
                <w:numId w:val="3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系统应具备统一时间管理能力，各类观测数据应带有时间戳信息。长期部署期间，平台主控时间漂移应满足多源数据联合分析需求；回收后应可对不同数据源进行时间校正和统一解析。</w:t>
            </w:r>
          </w:p>
          <w:p w14:paraId="2C87E398">
            <w:pPr>
              <w:pStyle w:val="10"/>
              <w:numPr>
                <w:ilvl w:val="0"/>
                <w:numId w:val="3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系统应配置满足长期部署任务的数据存储能力，本地有效存储容量建议不低于 4 TB，并支持根据图像、视频、声学和光谱任务需求扩展。数据应支持分级存储、压缩存储、事件标记和回收后批量导出。</w:t>
            </w:r>
          </w:p>
          <w:p w14:paraId="74330B2B">
            <w:pPr>
              <w:pStyle w:val="10"/>
              <w:numPr>
                <w:ilvl w:val="0"/>
                <w:numId w:val="3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系统应支持多种数据采集模式，包括连续采集、定时采集、事件触发采集、人工指令采集和低功耗待机采集。基础环境参数采样间隔应可配置，建议覆盖1 min～24 h或等效范围。</w:t>
            </w:r>
          </w:p>
          <w:p w14:paraId="65405F5D">
            <w:pPr>
              <w:pStyle w:val="10"/>
              <w:numPr>
                <w:ilvl w:val="0"/>
                <w:numId w:val="3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系统应具备断点续存、异常重启、数据完整性校验、运行日志追溯和任务配置备份能力。异常断电或系统重启后，不应影响已采集数据的完整保存。</w:t>
            </w:r>
          </w:p>
          <w:p w14:paraId="71975E9B">
            <w:pPr>
              <w:pStyle w:val="10"/>
              <w:numPr>
                <w:ilvl w:val="0"/>
                <w:numId w:val="3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系统应提供统一数据导出格式，至少支持CSV、TXT、Excel、图像、视频、声学文件、光谱文件或等效通用格式，便于后续开展冷泉过程、气泡释放、环境变化和光谱实验结果的联合分析。</w:t>
            </w:r>
          </w:p>
          <w:p w14:paraId="571548C2">
            <w:pPr>
              <w:snapToGrid w:val="0"/>
              <w:spacing w:line="300" w:lineRule="exact"/>
              <w:rPr>
                <w:sz w:val="24"/>
              </w:rPr>
            </w:pPr>
          </w:p>
          <w:p w14:paraId="66951C68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四、通信、定位与安全回收能力</w:t>
            </w:r>
          </w:p>
          <w:p w14:paraId="016FAB22">
            <w:pPr>
              <w:pStyle w:val="10"/>
              <w:numPr>
                <w:ilvl w:val="0"/>
                <w:numId w:val="4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系统应具备水下声学通信能力，可实现平台状态查询、关键摘要数据回传、任务参数调整、异常报警和回收指令确认。</w:t>
            </w:r>
          </w:p>
          <w:p w14:paraId="3404F9AA">
            <w:pPr>
              <w:pStyle w:val="10"/>
              <w:numPr>
                <w:ilvl w:val="0"/>
                <w:numId w:val="4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声学回传以状态信息和关键摘要为主，高清视频、原始声学数据和完整光谱数据以本地存储为主，回收后统一下载。</w:t>
            </w:r>
          </w:p>
          <w:p w14:paraId="3DEABF15">
            <w:pPr>
              <w:pStyle w:val="10"/>
              <w:numPr>
                <w:ilvl w:val="0"/>
                <w:numId w:val="4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系统应具备水下定位或辅助定位能力，用于布放、坐底、运行巡检和回收过程中的位置确认。</w:t>
            </w:r>
          </w:p>
          <w:p w14:paraId="71B1632D">
            <w:pPr>
              <w:pStyle w:val="10"/>
              <w:numPr>
                <w:ilvl w:val="0"/>
                <w:numId w:val="4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主回收方式应采用声学释放回收，释放后系统可依靠浮力自主上浮；释放链路宜具备冗余设计或等效安全策略。</w:t>
            </w:r>
          </w:p>
          <w:p w14:paraId="3D36B613">
            <w:pPr>
              <w:pStyle w:val="10"/>
              <w:numPr>
                <w:ilvl w:val="0"/>
                <w:numId w:val="4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系统应设置ROV备用回收条件，包括ROV抓握、机械释放、备用挂接、吊装和可视化识别结构，便于异常情况下辅助回收。</w:t>
            </w:r>
          </w:p>
          <w:p w14:paraId="02F7D690">
            <w:pPr>
              <w:pStyle w:val="10"/>
              <w:numPr>
                <w:ilvl w:val="0"/>
                <w:numId w:val="4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回收上浮后应具备海面辅助搜寻能力，如定位、无线电、闪光或等效方式。</w:t>
            </w:r>
          </w:p>
          <w:p w14:paraId="78EEF4B4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五、环境多参数综合观测能力</w:t>
            </w:r>
          </w:p>
          <w:p w14:paraId="022E858C">
            <w:pPr>
              <w:pStyle w:val="10"/>
              <w:numPr>
                <w:ilvl w:val="0"/>
                <w:numId w:val="5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系统应具备深海底层水体环境综合观测能力，可长期获取冷泉区水文背景、水动力变化、气体异常、化学环境和光学环境信息，为冷泉活动判断和气泡通量估算提供基础数据。</w:t>
            </w:r>
          </w:p>
          <w:p w14:paraId="4DC6027B">
            <w:pPr>
              <w:pStyle w:val="10"/>
              <w:numPr>
                <w:ilvl w:val="0"/>
                <w:numId w:val="5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水文动力功能应覆盖温度、盐度/电导、压力/深度、近底流速/流向、流场变化和坐底姿态等关键环境要素，具体量程和精度应满足6000 m级深海长期观测任务要求。</w:t>
            </w:r>
          </w:p>
          <w:p w14:paraId="405A127C">
            <w:pPr>
              <w:pStyle w:val="10"/>
              <w:numPr>
                <w:ilvl w:val="0"/>
                <w:numId w:val="5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温度测量范围建议覆盖-2～</w:t>
            </w:r>
            <w:r>
              <w:rPr>
                <w:sz w:val="24"/>
              </w:rPr>
              <w:t>40℃，精度优于±0.1℃或满足深海长期观测要求。</w:t>
            </w:r>
          </w:p>
          <w:p w14:paraId="5A83FBCF">
            <w:pPr>
              <w:pStyle w:val="10"/>
              <w:numPr>
                <w:ilvl w:val="0"/>
                <w:numId w:val="5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盐度/电导测量应覆盖常规海水盐度变化范围，盐度精度优于±0.02 PSU或等效水平。</w:t>
            </w:r>
          </w:p>
          <w:p w14:paraId="14600919">
            <w:pPr>
              <w:pStyle w:val="10"/>
              <w:numPr>
                <w:ilvl w:val="0"/>
                <w:numId w:val="5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sz w:val="24"/>
              </w:rPr>
              <w:t>压力/深度测量能力应满足6000 m级工作水深，压力测量范围不低于 60 MPa，精度优于满量程±0.1% 或满足深海定深观测要求。</w:t>
            </w:r>
          </w:p>
          <w:p w14:paraId="4349AFD7">
            <w:pPr>
              <w:pStyle w:val="10"/>
              <w:numPr>
                <w:ilvl w:val="0"/>
                <w:numId w:val="5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sz w:val="24"/>
              </w:rPr>
              <w:t>近底流速/流向观测应支持近底层流速剖面测量，流速测量范围覆盖±5 m/s，速度精度优于测量值±1%或等效水平。</w:t>
            </w:r>
          </w:p>
          <w:p w14:paraId="7CEBA7F0">
            <w:pPr>
              <w:pStyle w:val="10"/>
              <w:numPr>
                <w:ilvl w:val="0"/>
                <w:numId w:val="5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sz w:val="24"/>
              </w:rPr>
              <w:t>姿态监测应支持倾角、方位或等效姿态信息记录，倾角分辨率不低于 0.1°，用于坐底稳定性判断和观测数据校正。</w:t>
            </w:r>
          </w:p>
          <w:p w14:paraId="7796A469">
            <w:pPr>
              <w:pStyle w:val="10"/>
              <w:numPr>
                <w:ilvl w:val="0"/>
                <w:numId w:val="5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sz w:val="24"/>
              </w:rPr>
              <w:t>气体与化学功能应覆盖甲烷、二氧化碳或 pCO</w:t>
            </w:r>
            <w:r>
              <w:rPr>
                <w:rFonts w:hint="eastAsia"/>
                <w:sz w:val="24"/>
                <w:vertAlign w:val="subscript"/>
              </w:rPr>
              <w:t>2</w:t>
            </w:r>
            <w:r>
              <w:rPr>
                <w:sz w:val="24"/>
              </w:rPr>
              <w:t>、溶解氧、pH、硫化氢/硫化物、氧化还原状态等冷泉关键指标，能够反映冷泉流体输入、耗氧过程、还原环境和碳酸盐体系变化。</w:t>
            </w:r>
          </w:p>
          <w:p w14:paraId="692E44A8">
            <w:pPr>
              <w:pStyle w:val="10"/>
              <w:numPr>
                <w:ilvl w:val="0"/>
                <w:numId w:val="5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sz w:val="24"/>
              </w:rPr>
              <w:t>甲烷观测应覆盖背景海水至冷泉异常浓度区间，宜支持 nM～μM级变化监测；低量程检出限建议不高于100 nM，高量程上限建议不低于100 μM或可根据任务需求扩展。</w:t>
            </w:r>
          </w:p>
          <w:p w14:paraId="2F0CCC41">
            <w:pPr>
              <w:pStyle w:val="10"/>
              <w:numPr>
                <w:ilvl w:val="0"/>
                <w:numId w:val="5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sz w:val="24"/>
              </w:rPr>
              <w:t>二氧化碳或pCO</w:t>
            </w:r>
            <w:r>
              <w:rPr>
                <w:rFonts w:hint="eastAsia"/>
                <w:sz w:val="24"/>
                <w:vertAlign w:val="subscript"/>
              </w:rPr>
              <w:t>2</w:t>
            </w:r>
            <w:r>
              <w:rPr>
                <w:sz w:val="24"/>
              </w:rPr>
              <w:t>观测应支持海水CO</w:t>
            </w:r>
            <w:r>
              <w:rPr>
                <w:rFonts w:hint="eastAsia"/>
                <w:sz w:val="24"/>
                <w:vertAlign w:val="subscript"/>
              </w:rPr>
              <w:t>2</w:t>
            </w:r>
            <w:r>
              <w:rPr>
                <w:sz w:val="24"/>
              </w:rPr>
              <w:t>或pCO</w:t>
            </w:r>
            <w:r>
              <w:rPr>
                <w:rFonts w:hint="eastAsia"/>
                <w:sz w:val="24"/>
                <w:vertAlign w:val="subscript"/>
              </w:rPr>
              <w:t>2</w:t>
            </w:r>
            <w:r>
              <w:rPr>
                <w:sz w:val="24"/>
              </w:rPr>
              <w:t>变化监测，量程应覆盖背景海水至冷泉异常区间，精度满足碳酸盐体系变化分析需求。</w:t>
            </w:r>
          </w:p>
          <w:p w14:paraId="1904B0AF">
            <w:pPr>
              <w:pStyle w:val="10"/>
              <w:numPr>
                <w:ilvl w:val="0"/>
                <w:numId w:val="5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sz w:val="24"/>
              </w:rPr>
              <w:t>溶解氧测量范围应覆盖0～饱和海水浓度，分辨率不低于0.01 mg/L或等效水平，精度优于±2%或满足长期生态观测需求。</w:t>
            </w:r>
          </w:p>
          <w:p w14:paraId="63FADF98">
            <w:pPr>
              <w:pStyle w:val="10"/>
              <w:numPr>
                <w:ilvl w:val="0"/>
                <w:numId w:val="5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sz w:val="24"/>
              </w:rPr>
              <w:t>pH 测量范围覆盖6～9，分辨率不低于0.01 pH，精度优于±0.05 pH或满足长期趋势分析需求。</w:t>
            </w:r>
          </w:p>
          <w:p w14:paraId="2A60C900">
            <w:pPr>
              <w:pStyle w:val="10"/>
              <w:numPr>
                <w:ilvl w:val="0"/>
                <w:numId w:val="5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sz w:val="24"/>
              </w:rPr>
              <w:t>H₂S/硫化物观测应具备冷泉还原性流体硫化物异常识别能力，量程和检出限应覆盖背景至异常浓度变化。</w:t>
            </w:r>
          </w:p>
          <w:p w14:paraId="5E0BC55D">
            <w:pPr>
              <w:pStyle w:val="10"/>
              <w:numPr>
                <w:ilvl w:val="0"/>
                <w:numId w:val="5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sz w:val="24"/>
              </w:rPr>
              <w:t>ORP 测量范围建议覆盖-1000～+1000 mV，分辨率不低于1 mV，满足氧化还原环境变化判断需求。</w:t>
            </w:r>
          </w:p>
          <w:p w14:paraId="049F5BC1">
            <w:pPr>
              <w:pStyle w:val="10"/>
              <w:numPr>
                <w:ilvl w:val="0"/>
                <w:numId w:val="5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sz w:val="24"/>
              </w:rPr>
              <w:t>光学环境功能可覆盖浊度、悬浮颗粒、后向散射或等效参数，用于辅助判断羽流、颗粒物、沉积物扰动和环境背景变化。</w:t>
            </w:r>
          </w:p>
          <w:p w14:paraId="708F9BDB">
            <w:pPr>
              <w:pStyle w:val="10"/>
              <w:numPr>
                <w:ilvl w:val="0"/>
                <w:numId w:val="5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sz w:val="24"/>
              </w:rPr>
              <w:t>系统应提供部署前校准、回收后复核、漂移修正、异常值标记和维护更换流程，保证长期观测数据的可比性和可追溯性。</w:t>
            </w:r>
          </w:p>
          <w:p w14:paraId="505B08DC">
            <w:pPr>
              <w:snapToGrid w:val="0"/>
              <w:spacing w:line="300" w:lineRule="exact"/>
              <w:ind w:left="472"/>
              <w:rPr>
                <w:sz w:val="24"/>
              </w:rPr>
            </w:pPr>
          </w:p>
          <w:p w14:paraId="4F6FB3C4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六、冷泉喷口光学观测与气泡过程分析能力</w:t>
            </w:r>
          </w:p>
          <w:p w14:paraId="0B5049DC">
            <w:pPr>
              <w:pStyle w:val="10"/>
              <w:numPr>
                <w:ilvl w:val="0"/>
                <w:numId w:val="6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系统应具备冷泉喷口、气泡羽流和周边生境的多视角原位观测能力，基础观测视角不少于2个，并支持根据任务需要扩展至3～4个或等效多视角观测方式。</w:t>
            </w:r>
          </w:p>
          <w:p w14:paraId="222E46BA">
            <w:pPr>
              <w:pStyle w:val="10"/>
              <w:numPr>
                <w:ilvl w:val="0"/>
                <w:numId w:val="6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成像系统应支持高清图像或视频采集，基础分辨率不低于1920×1080，并支持定时拍摄、事件触发拍摄、人工指令拍摄和低功耗待机模式。</w:t>
            </w:r>
          </w:p>
          <w:p w14:paraId="645C242F">
            <w:pPr>
              <w:pStyle w:val="10"/>
              <w:numPr>
                <w:ilvl w:val="0"/>
                <w:numId w:val="6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系统应具备与成像任务匹配的深海照明能力，照明应满足6000 m 级深海耐压、低功耗、亮度调节和同步触发要求，可通过侧向照明、背光照明或组合照明增强气泡边界识别。</w:t>
            </w:r>
          </w:p>
          <w:p w14:paraId="3DE51E61">
            <w:pPr>
              <w:pStyle w:val="10"/>
              <w:numPr>
                <w:ilvl w:val="0"/>
                <w:numId w:val="6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系统应支持对视场内毫米级至厘米级气泡目标进行识别和分析，能够计算或半自动分析气泡数量、尺度分布、上升速度、释放频率、羽流强度和体积通量等指标。</w:t>
            </w:r>
          </w:p>
          <w:p w14:paraId="19CB3A05">
            <w:pPr>
              <w:pStyle w:val="10"/>
              <w:numPr>
                <w:ilvl w:val="0"/>
                <w:numId w:val="6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系统应提供尺度标定、图像标定、视场标定或等效标定方法，气泡尺寸和速度计算结果应具备可复核依据。标定结构应能够在长期部署前后进行检查和校正。</w:t>
            </w:r>
          </w:p>
          <w:p w14:paraId="247D8FEF">
            <w:pPr>
              <w:pStyle w:val="10"/>
              <w:numPr>
                <w:ilvl w:val="0"/>
                <w:numId w:val="6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气泡分析软件或后处理流程应支持图像序列导入、目标识别、轨迹追踪、气泡参数统计、异常事件标记和结果导出。结果导出应支持表格、图像、视频标注或等效格式。</w:t>
            </w:r>
          </w:p>
          <w:p w14:paraId="00078D8F">
            <w:pPr>
              <w:pStyle w:val="10"/>
              <w:numPr>
                <w:ilvl w:val="0"/>
                <w:numId w:val="6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成像窗口、照明窗口和标定结构应考虑长期部署条件下的防生物附着、防沉积物遮挡、抗腐蚀和回收后维护清洁要求。</w:t>
            </w:r>
          </w:p>
          <w:p w14:paraId="51E8EADC">
            <w:pPr>
              <w:snapToGrid w:val="0"/>
              <w:spacing w:line="300" w:lineRule="exact"/>
              <w:rPr>
                <w:sz w:val="24"/>
              </w:rPr>
            </w:pPr>
          </w:p>
          <w:p w14:paraId="6F86D1F6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七、声学辅助观测与气泡事件识别能力</w:t>
            </w:r>
          </w:p>
          <w:p w14:paraId="2231B49E">
            <w:pPr>
              <w:pStyle w:val="10"/>
              <w:numPr>
                <w:ilvl w:val="0"/>
                <w:numId w:val="7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系统可配置声学成像、水声监听或等效声学观测能力，用于在低能见度、浑浊水体或光学视场受限条件下辅助识别喷口地形、气泡羽流和冷泉活动事件。</w:t>
            </w:r>
          </w:p>
          <w:p w14:paraId="67EADAC0">
            <w:pPr>
              <w:pStyle w:val="10"/>
              <w:numPr>
                <w:ilvl w:val="0"/>
                <w:numId w:val="7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水声监听采样率不低于48 kHz，可根据气泡释放声学特征识别需求扩展。</w:t>
            </w:r>
          </w:p>
          <w:p w14:paraId="37D6F149">
            <w:pPr>
              <w:pStyle w:val="10"/>
              <w:numPr>
                <w:ilvl w:val="0"/>
                <w:numId w:val="7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声学数据应与光学图像、水动力、气体异常和平台状态数据统一时间同步，用于气泡事件识别、喷口活动强度判断和通量估算交叉验证。</w:t>
            </w:r>
          </w:p>
          <w:p w14:paraId="4BF348D2">
            <w:pPr>
              <w:pStyle w:val="10"/>
              <w:numPr>
                <w:ilvl w:val="0"/>
                <w:numId w:val="7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声学功能应纳入整机功耗预算和任务调度策略，支持低功耗周期观测、事件触发观测或指定时段观测。</w:t>
            </w:r>
          </w:p>
          <w:p w14:paraId="4F3D8F2F">
            <w:pPr>
              <w:snapToGrid w:val="0"/>
              <w:spacing w:line="300" w:lineRule="exact"/>
              <w:ind w:left="472"/>
              <w:rPr>
                <w:sz w:val="24"/>
              </w:rPr>
            </w:pPr>
          </w:p>
          <w:p w14:paraId="07AAD153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八、原位光谱实验与扩展探测能力</w:t>
            </w:r>
          </w:p>
          <w:p w14:paraId="3F2D0910">
            <w:pPr>
              <w:pStyle w:val="10"/>
              <w:numPr>
                <w:ilvl w:val="0"/>
                <w:numId w:val="8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系统应具备原位光谱实验载荷的搭载、供电、控制、通信、数据存储和安全运行能力，可根据科学任务配置拉曼、红外或等效光谱探测功能。</w:t>
            </w:r>
          </w:p>
          <w:p w14:paraId="3DC16F39">
            <w:pPr>
              <w:pStyle w:val="10"/>
              <w:numPr>
                <w:ilvl w:val="0"/>
                <w:numId w:val="8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光谱实验功能主要用于冷泉相关气体、溶解组分、矿物相、硫化物、碳酸盐或其他特征物质的现场识别和方法验证，与长期环境观测数据形成互补。</w:t>
            </w:r>
          </w:p>
          <w:p w14:paraId="40D4B154">
            <w:pPr>
              <w:pStyle w:val="10"/>
              <w:numPr>
                <w:ilvl w:val="0"/>
                <w:numId w:val="8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拉曼光谱模块可配置 532 nm、785 nm 或等效激发波长；如面向甲烷、硫化物和矿物相识别，优先支持 532 nm 或等效方案。</w:t>
            </w:r>
          </w:p>
          <w:p w14:paraId="3AA3B244">
            <w:pPr>
              <w:pStyle w:val="10"/>
              <w:numPr>
                <w:ilvl w:val="0"/>
                <w:numId w:val="8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拉曼位移范围覆盖</w:t>
            </w:r>
            <w:r>
              <w:rPr>
                <w:sz w:val="24"/>
              </w:rPr>
              <w:t xml:space="preserve"> 150</w:t>
            </w:r>
            <w:r>
              <w:rPr>
                <w:rFonts w:hint="eastAsia"/>
                <w:sz w:val="24"/>
              </w:rPr>
              <w:t>～</w:t>
            </w:r>
            <w:r>
              <w:rPr>
                <w:sz w:val="24"/>
              </w:rPr>
              <w:t>4200 cm</w:t>
            </w:r>
            <w:r>
              <w:rPr>
                <w:rFonts w:hint="eastAsia"/>
                <w:sz w:val="24"/>
                <w:vertAlign w:val="superscript"/>
              </w:rPr>
              <w:t>-1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或等效范围，分辨率优于</w:t>
            </w:r>
            <w:r>
              <w:rPr>
                <w:sz w:val="24"/>
              </w:rPr>
              <w:t>6 cm</w:t>
            </w:r>
            <w:r>
              <w:rPr>
                <w:rFonts w:hint="eastAsia"/>
                <w:sz w:val="24"/>
                <w:vertAlign w:val="superscript"/>
              </w:rPr>
              <w:t>-1</w:t>
            </w:r>
            <w:r>
              <w:rPr>
                <w:rFonts w:hint="eastAsia"/>
                <w:sz w:val="24"/>
              </w:rPr>
              <w:t>，宜优于2</w:t>
            </w:r>
            <w:r>
              <w:rPr>
                <w:sz w:val="24"/>
              </w:rPr>
              <w:t xml:space="preserve"> cm</w:t>
            </w:r>
            <w:r>
              <w:rPr>
                <w:rFonts w:hint="eastAsia"/>
                <w:sz w:val="24"/>
                <w:vertAlign w:val="superscript"/>
              </w:rPr>
              <w:t>-1</w:t>
            </w:r>
            <w:r>
              <w:rPr>
                <w:rFonts w:hint="eastAsia"/>
                <w:sz w:val="24"/>
              </w:rPr>
              <w:t>。</w:t>
            </w:r>
          </w:p>
          <w:p w14:paraId="34FAB0DF">
            <w:pPr>
              <w:pStyle w:val="10"/>
              <w:numPr>
                <w:ilvl w:val="0"/>
                <w:numId w:val="8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拉曼激光功率应支持软件控制或分档调节，功率稳定性优于±5%或满足长期实验要求。</w:t>
            </w:r>
          </w:p>
          <w:p w14:paraId="10603082">
            <w:pPr>
              <w:pStyle w:val="10"/>
              <w:numPr>
                <w:ilvl w:val="0"/>
                <w:numId w:val="8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拉曼探测器A/D位深不低于 16 bit 或具备等效动态范围。</w:t>
            </w:r>
          </w:p>
          <w:p w14:paraId="5531A85E">
            <w:pPr>
              <w:pStyle w:val="10"/>
              <w:numPr>
                <w:ilvl w:val="0"/>
                <w:numId w:val="8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拉曼采集模式应支持单点采集、定时采集、事件触发采集和多次累积采集。</w:t>
            </w:r>
          </w:p>
          <w:p w14:paraId="6D150061">
            <w:pPr>
              <w:pStyle w:val="10"/>
              <w:numPr>
                <w:ilvl w:val="0"/>
                <w:numId w:val="8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红外光谱功能应支持</w:t>
            </w:r>
            <w:r>
              <w:rPr>
                <w:sz w:val="24"/>
              </w:rPr>
              <w:t>CH</w:t>
            </w:r>
            <w:r>
              <w:rPr>
                <w:rFonts w:hint="eastAsia"/>
                <w:sz w:val="24"/>
                <w:vertAlign w:val="subscript"/>
              </w:rPr>
              <w:t>4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CO</w:t>
            </w:r>
            <w:r>
              <w:rPr>
                <w:rFonts w:hint="eastAsia"/>
                <w:sz w:val="24"/>
                <w:vertAlign w:val="subscript"/>
              </w:rPr>
              <w:t>2</w:t>
            </w:r>
            <w:r>
              <w:rPr>
                <w:rFonts w:hint="eastAsia"/>
                <w:sz w:val="24"/>
              </w:rPr>
              <w:t>或其他冷泉相关气体检测，可采用中红外、近红外或等效红外吸收检测方式。</w:t>
            </w:r>
          </w:p>
          <w:p w14:paraId="59BC6819">
            <w:pPr>
              <w:pStyle w:val="10"/>
              <w:numPr>
                <w:ilvl w:val="0"/>
                <w:numId w:val="8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中红外方案宜覆盖3～5 </w:t>
            </w:r>
            <w:r>
              <w:rPr>
                <w:rFonts w:ascii="Calibri" w:hAnsi="Calibri" w:eastAsia="仿宋" w:cs="Calibri"/>
                <w:sz w:val="24"/>
              </w:rPr>
              <w:t>µ</w:t>
            </w:r>
            <w:r>
              <w:rPr>
                <w:rFonts w:hint="eastAsia"/>
                <w:sz w:val="24"/>
              </w:rPr>
              <w:t>m或等效范围，近红外方案应覆盖目标气体相应吸收带。</w:t>
            </w:r>
          </w:p>
          <w:p w14:paraId="2BF25F6D">
            <w:pPr>
              <w:pStyle w:val="10"/>
              <w:numPr>
                <w:ilvl w:val="0"/>
                <w:numId w:val="8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系统应至少预留2套科学扩展载荷安装与接口条件，支持光谱模块、气体处理模块、微型检测腔或其他原位实验载荷的后续扩展。</w:t>
            </w:r>
          </w:p>
          <w:p w14:paraId="0C4391FF">
            <w:pPr>
              <w:pStyle w:val="10"/>
              <w:numPr>
                <w:ilvl w:val="0"/>
                <w:numId w:val="8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涉及气体光谱检测时，系统应支持必要的气液分离、稳压、除湿、温控或微型检测腔等工程条件，以提高甲烷、二氧化碳等目标气体测量稳定性。</w:t>
            </w:r>
          </w:p>
          <w:p w14:paraId="17449C5C">
            <w:pPr>
              <w:pStyle w:val="10"/>
              <w:numPr>
                <w:ilvl w:val="0"/>
                <w:numId w:val="8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光谱相关窗口、光路支撑、密封结构、电气接口和软件控制应按整机深海部署要求进行集成设计，满足6000 m级耐压、防腐、密封和维护要求。</w:t>
            </w:r>
          </w:p>
          <w:p w14:paraId="3E2F3C28">
            <w:pPr>
              <w:pStyle w:val="10"/>
              <w:numPr>
                <w:ilvl w:val="0"/>
                <w:numId w:val="8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系统应支持光谱实验数据与环境参数、气泡图像、声学事件和平台状态数据进行统一时间关联，便于回收后开展原位实验结果解释和多源数据联合分析。</w:t>
            </w:r>
          </w:p>
          <w:p w14:paraId="35238FFE">
            <w:pPr>
              <w:snapToGrid w:val="0"/>
              <w:spacing w:line="300" w:lineRule="exact"/>
              <w:ind w:left="472"/>
              <w:rPr>
                <w:sz w:val="24"/>
              </w:rPr>
            </w:pPr>
          </w:p>
          <w:p w14:paraId="3057C55D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九、软件、数据融合与后处理功能</w:t>
            </w:r>
          </w:p>
          <w:p w14:paraId="323B3C34">
            <w:pPr>
              <w:pStyle w:val="10"/>
              <w:numPr>
                <w:ilvl w:val="0"/>
                <w:numId w:val="9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软件应具备任务配置、采样计划设置、状态监控、功耗管理、异常报警、数据记录、声学指令响应和回收后数据导出功能。</w:t>
            </w:r>
          </w:p>
          <w:p w14:paraId="2581724E">
            <w:pPr>
              <w:pStyle w:val="10"/>
              <w:numPr>
                <w:ilvl w:val="0"/>
                <w:numId w:val="9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软件应支持水文动力、气体化学、光学成像、声学观测、原位光谱和平台状态等多类数据的统一管理与时间同步。</w:t>
            </w:r>
          </w:p>
          <w:p w14:paraId="720AE4E3">
            <w:pPr>
              <w:pStyle w:val="10"/>
              <w:numPr>
                <w:ilvl w:val="0"/>
                <w:numId w:val="9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软件应支持气泡图像识别或半自动分析，能够输出气泡数量、尺寸、速度、频率和通量等结果或中间数据。</w:t>
            </w:r>
          </w:p>
          <w:p w14:paraId="26FBCE67">
            <w:pPr>
              <w:pStyle w:val="10"/>
              <w:numPr>
                <w:ilvl w:val="0"/>
                <w:numId w:val="9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软件应支持数据质量控制、异常值标记、校准信息记录、传感漂移修正、历史回放和批量导出。</w:t>
            </w:r>
          </w:p>
          <w:p w14:paraId="252A1BAA">
            <w:pPr>
              <w:pStyle w:val="10"/>
              <w:numPr>
                <w:ilvl w:val="0"/>
                <w:numId w:val="9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数据格式应便于后续科研分析，支持常见表格、图像、视频、声学、光谱和日志数据导出，并保留完整元数据。</w:t>
            </w:r>
          </w:p>
          <w:p w14:paraId="5B73FEDB">
            <w:pPr>
              <w:snapToGrid w:val="0"/>
              <w:spacing w:line="300" w:lineRule="exact"/>
              <w:ind w:left="472"/>
              <w:rPr>
                <w:sz w:val="24"/>
              </w:rPr>
            </w:pPr>
          </w:p>
          <w:p w14:paraId="0C04F6F2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十、</w:t>
            </w:r>
            <w:r>
              <w:rPr>
                <w:sz w:val="24"/>
              </w:rPr>
              <w:t>配置清单：（包括主机和各种配件或附件、试剂耗材以及软件等，写明规格和数量，电脑要列明详细的配置，无此项内容则写“无”）</w:t>
            </w:r>
          </w:p>
          <w:p w14:paraId="35825E28">
            <w:pPr>
              <w:pStyle w:val="10"/>
              <w:numPr>
                <w:ilvl w:val="0"/>
                <w:numId w:val="10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6000 m级深水Lander系统总成1套，包括主体框架、浮力、压载、吊装、回收和ROV备用操作结构。</w:t>
            </w:r>
          </w:p>
          <w:p w14:paraId="6562FFDE">
            <w:pPr>
              <w:pStyle w:val="10"/>
              <w:numPr>
                <w:ilvl w:val="0"/>
                <w:numId w:val="10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长周期能源供给、耐压电子舱、主控采集、数据存储和电源管理系统1套。</w:t>
            </w:r>
          </w:p>
          <w:p w14:paraId="21FED199">
            <w:pPr>
              <w:pStyle w:val="10"/>
              <w:numPr>
                <w:ilvl w:val="0"/>
                <w:numId w:val="10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声学通信、定位、释放回收和海面辅助搜寻系统1套。</w:t>
            </w:r>
          </w:p>
          <w:p w14:paraId="47BBAE47">
            <w:pPr>
              <w:pStyle w:val="10"/>
              <w:numPr>
                <w:ilvl w:val="0"/>
                <w:numId w:val="10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环境多参数综合观测系统1套，覆盖水文动力、气体化学和光学环境等核心观测能力。</w:t>
            </w:r>
          </w:p>
          <w:p w14:paraId="0619AF84">
            <w:pPr>
              <w:pStyle w:val="10"/>
              <w:numPr>
                <w:ilvl w:val="0"/>
                <w:numId w:val="10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冷泉喷口多视角成像、同步照明、标定和气泡分析系统1套。</w:t>
            </w:r>
          </w:p>
          <w:p w14:paraId="226F06A3">
            <w:pPr>
              <w:pStyle w:val="10"/>
              <w:numPr>
                <w:ilvl w:val="0"/>
                <w:numId w:val="10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声学辅助观测与气泡事件识别系统1套。</w:t>
            </w:r>
          </w:p>
          <w:p w14:paraId="185E7116">
            <w:pPr>
              <w:pStyle w:val="10"/>
              <w:numPr>
                <w:ilvl w:val="0"/>
                <w:numId w:val="10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原位拉曼/红外或等效光谱实验扩展系统1套。</w:t>
            </w:r>
          </w:p>
          <w:p w14:paraId="7A25129C">
            <w:pPr>
              <w:pStyle w:val="10"/>
              <w:numPr>
                <w:ilvl w:val="0"/>
                <w:numId w:val="10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深海接插件、线缆、安装支架、密封件、防腐件、标定件、维护工具和易损备件1套。</w:t>
            </w:r>
          </w:p>
          <w:p w14:paraId="7B47DEA8">
            <w:pPr>
              <w:pStyle w:val="10"/>
              <w:numPr>
                <w:ilvl w:val="0"/>
                <w:numId w:val="10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任务控制、数据采集、数据融合、状态监测和后处理软件1套。</w:t>
            </w:r>
          </w:p>
          <w:p w14:paraId="0F35DA21">
            <w:pPr>
              <w:pStyle w:val="10"/>
              <w:numPr>
                <w:ilvl w:val="0"/>
                <w:numId w:val="10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产品说明书、操作手册、维护手册、布放回收手册、安全手册和软件使用手册各1套。</w:t>
            </w:r>
          </w:p>
          <w:p w14:paraId="1FFDEAA6">
            <w:pPr>
              <w:pStyle w:val="10"/>
              <w:numPr>
                <w:ilvl w:val="0"/>
                <w:numId w:val="10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供货方应完成整机装配、系统联调、水池或等效环境测试、出厂验收和现场培训，交付内容应体现平台级成套装备能力。</w:t>
            </w:r>
          </w:p>
          <w:p w14:paraId="6B1FA0CB">
            <w:pPr>
              <w:snapToGrid w:val="0"/>
              <w:spacing w:line="300" w:lineRule="exact"/>
              <w:ind w:left="472"/>
              <w:rPr>
                <w:sz w:val="24"/>
              </w:rPr>
            </w:pPr>
          </w:p>
          <w:p w14:paraId="37687851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十一、安全指标（包括特种设备、涉及辐射安全、生物安全等设备生产厂商要取得许可证，无此项内容则写“无”）</w:t>
            </w:r>
          </w:p>
          <w:p w14:paraId="3DDC9CE8">
            <w:pPr>
              <w:pStyle w:val="10"/>
              <w:numPr>
                <w:ilvl w:val="0"/>
                <w:numId w:val="11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关键耐压舱体、接插件、释放机构和外置观测单元应提供6000 m级耐压测试报告或等效证明材料。</w:t>
            </w:r>
          </w:p>
          <w:p w14:paraId="537C562F">
            <w:pPr>
              <w:snapToGrid w:val="0"/>
              <w:spacing w:line="300" w:lineRule="exact"/>
              <w:ind w:left="472"/>
              <w:rPr>
                <w:sz w:val="24"/>
              </w:rPr>
            </w:pPr>
          </w:p>
          <w:p w14:paraId="6403241C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十二、免费保修期</w:t>
            </w:r>
          </w:p>
          <w:p w14:paraId="678D3A9C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保修范围（如配件或耗材的维保要特别提出、是否需要备品备件等）：</w:t>
            </w:r>
          </w:p>
          <w:p w14:paraId="300E56DA">
            <w:pPr>
              <w:pStyle w:val="10"/>
              <w:numPr>
                <w:ilvl w:val="0"/>
                <w:numId w:val="12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整机免费保修期不少于1年。</w:t>
            </w:r>
          </w:p>
          <w:p w14:paraId="3126BD6A">
            <w:pPr>
              <w:pStyle w:val="10"/>
              <w:numPr>
                <w:ilvl w:val="0"/>
                <w:numId w:val="12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保修范围应覆盖主体框架、耐压舱体、主控采集、电源管理、声学通信回收、系统软件、接口适配和整机集成故障。</w:t>
            </w:r>
          </w:p>
          <w:p w14:paraId="363D6BA4">
            <w:pPr>
              <w:pStyle w:val="10"/>
              <w:numPr>
                <w:ilvl w:val="0"/>
                <w:numId w:val="12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易耗件、消耗性材料和人为损坏部件按供应商规定执行，但应明确备件供应渠道和价格原则。</w:t>
            </w:r>
          </w:p>
          <w:p w14:paraId="6D574E23">
            <w:pPr>
              <w:snapToGrid w:val="0"/>
              <w:spacing w:line="300" w:lineRule="exact"/>
              <w:ind w:firstLine="472" w:firstLineChars="200"/>
              <w:rPr>
                <w:sz w:val="24"/>
              </w:rPr>
            </w:pPr>
          </w:p>
          <w:p w14:paraId="495D9391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十三、售后服务要求</w:t>
            </w:r>
          </w:p>
          <w:p w14:paraId="25F30F73">
            <w:pPr>
              <w:pStyle w:val="10"/>
              <w:numPr>
                <w:ilvl w:val="0"/>
                <w:numId w:val="13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提供24小时线上远程技术支持。</w:t>
            </w:r>
          </w:p>
          <w:p w14:paraId="78A46639">
            <w:pPr>
              <w:pStyle w:val="10"/>
              <w:numPr>
                <w:ilvl w:val="0"/>
                <w:numId w:val="13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供应商应提供海试前联调、布放前检查、海上任务技术支持、回收后数据导出和系统维护服务。</w:t>
            </w:r>
          </w:p>
          <w:p w14:paraId="55F2826E">
            <w:pPr>
              <w:pStyle w:val="10"/>
              <w:numPr>
                <w:ilvl w:val="0"/>
                <w:numId w:val="13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软件应提供必要升级、故障修复、数据解析和任务配置支持。</w:t>
            </w:r>
          </w:p>
          <w:p w14:paraId="53829B30">
            <w:pPr>
              <w:snapToGrid w:val="0"/>
              <w:spacing w:line="300" w:lineRule="exact"/>
              <w:ind w:left="472"/>
              <w:rPr>
                <w:sz w:val="24"/>
              </w:rPr>
            </w:pPr>
          </w:p>
          <w:p w14:paraId="5488697C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十四、培训要求</w:t>
            </w:r>
          </w:p>
          <w:p w14:paraId="1043AD37">
            <w:pPr>
              <w:pStyle w:val="10"/>
              <w:numPr>
                <w:ilvl w:val="0"/>
                <w:numId w:val="14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提供现场安装、联调、操作和维护培训。</w:t>
            </w:r>
          </w:p>
          <w:p w14:paraId="0F58D16E">
            <w:pPr>
              <w:pStyle w:val="10"/>
              <w:numPr>
                <w:ilvl w:val="0"/>
                <w:numId w:val="14"/>
              </w:numPr>
              <w:snapToGrid w:val="0"/>
              <w:spacing w:line="30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培训内容应包括整机系统组成、任务剖面设置、功耗预算、布放回收流程、声学通信与释放、ROV备用回收、观测数据导出、气泡定量分析、光谱实验运行和日常维护。</w:t>
            </w:r>
          </w:p>
          <w:p w14:paraId="5D671026">
            <w:pPr>
              <w:snapToGrid w:val="0"/>
              <w:spacing w:line="300" w:lineRule="exact"/>
              <w:rPr>
                <w:color w:val="C00000"/>
                <w:sz w:val="24"/>
              </w:rPr>
            </w:pPr>
            <w:r>
              <w:rPr>
                <w:rFonts w:hint="eastAsia"/>
                <w:sz w:val="24"/>
              </w:rPr>
              <w:t>提供完整中文操作手册、维护手册、安全手册、布放回收手册和软件使用培训资料。</w:t>
            </w:r>
          </w:p>
        </w:tc>
      </w:tr>
    </w:tbl>
    <w:p w14:paraId="18AD4097">
      <w:pPr>
        <w:tabs>
          <w:tab w:val="left" w:pos="6840"/>
        </w:tabs>
        <w:adjustRightInd w:val="0"/>
        <w:snapToGrid w:val="0"/>
        <w:spacing w:line="540" w:lineRule="exact"/>
        <w:rPr>
          <w:rFonts w:ascii="Calibri" w:hAnsi="Calibri" w:eastAsia="黑体"/>
          <w:sz w:val="24"/>
        </w:rPr>
      </w:pPr>
    </w:p>
    <w:p w14:paraId="4993A557"/>
    <w:sectPr>
      <w:headerReference r:id="rId5" w:type="default"/>
      <w:footerReference r:id="rId6" w:type="default"/>
      <w:pgSz w:w="11906" w:h="16838"/>
      <w:pgMar w:top="2098" w:right="1474" w:bottom="1985" w:left="1588" w:header="850" w:footer="1418" w:gutter="0"/>
      <w:pgNumType w:fmt="numberInDash"/>
      <w:cols w:space="720" w:num="1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D9CDC6">
    <w:pPr>
      <w:pStyle w:val="3"/>
      <w:ind w:right="280"/>
      <w:jc w:val="right"/>
      <w:rPr>
        <w:rFonts w:hint="eastAsia"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4 -</w:t>
    </w:r>
    <w:r>
      <w:rPr>
        <w:rFonts w:ascii="宋体" w:hAnsi="宋体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648B00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EF71D6"/>
    <w:multiLevelType w:val="multilevel"/>
    <w:tmpl w:val="00EF71D6"/>
    <w:lvl w:ilvl="0" w:tentative="0">
      <w:start w:val="1"/>
      <w:numFmt w:val="decimal"/>
      <w:lvlText w:val="%1."/>
      <w:lvlJc w:val="left"/>
      <w:pPr>
        <w:ind w:left="892" w:hanging="420"/>
      </w:pPr>
    </w:lvl>
    <w:lvl w:ilvl="1" w:tentative="0">
      <w:start w:val="1"/>
      <w:numFmt w:val="lowerLetter"/>
      <w:lvlText w:val="%2)"/>
      <w:lvlJc w:val="left"/>
      <w:pPr>
        <w:ind w:left="1312" w:hanging="420"/>
      </w:pPr>
    </w:lvl>
    <w:lvl w:ilvl="2" w:tentative="0">
      <w:start w:val="1"/>
      <w:numFmt w:val="lowerRoman"/>
      <w:lvlText w:val="%3."/>
      <w:lvlJc w:val="right"/>
      <w:pPr>
        <w:ind w:left="1732" w:hanging="420"/>
      </w:pPr>
    </w:lvl>
    <w:lvl w:ilvl="3" w:tentative="0">
      <w:start w:val="1"/>
      <w:numFmt w:val="decimal"/>
      <w:lvlText w:val="%4."/>
      <w:lvlJc w:val="left"/>
      <w:pPr>
        <w:ind w:left="2152" w:hanging="420"/>
      </w:pPr>
    </w:lvl>
    <w:lvl w:ilvl="4" w:tentative="0">
      <w:start w:val="1"/>
      <w:numFmt w:val="lowerLetter"/>
      <w:lvlText w:val="%5)"/>
      <w:lvlJc w:val="left"/>
      <w:pPr>
        <w:ind w:left="2572" w:hanging="420"/>
      </w:pPr>
    </w:lvl>
    <w:lvl w:ilvl="5" w:tentative="0">
      <w:start w:val="1"/>
      <w:numFmt w:val="lowerRoman"/>
      <w:lvlText w:val="%6."/>
      <w:lvlJc w:val="right"/>
      <w:pPr>
        <w:ind w:left="2992" w:hanging="420"/>
      </w:pPr>
    </w:lvl>
    <w:lvl w:ilvl="6" w:tentative="0">
      <w:start w:val="1"/>
      <w:numFmt w:val="decimal"/>
      <w:lvlText w:val="%7."/>
      <w:lvlJc w:val="left"/>
      <w:pPr>
        <w:ind w:left="3412" w:hanging="420"/>
      </w:pPr>
    </w:lvl>
    <w:lvl w:ilvl="7" w:tentative="0">
      <w:start w:val="1"/>
      <w:numFmt w:val="lowerLetter"/>
      <w:lvlText w:val="%8)"/>
      <w:lvlJc w:val="left"/>
      <w:pPr>
        <w:ind w:left="3832" w:hanging="420"/>
      </w:pPr>
    </w:lvl>
    <w:lvl w:ilvl="8" w:tentative="0">
      <w:start w:val="1"/>
      <w:numFmt w:val="lowerRoman"/>
      <w:lvlText w:val="%9."/>
      <w:lvlJc w:val="right"/>
      <w:pPr>
        <w:ind w:left="4252" w:hanging="420"/>
      </w:pPr>
    </w:lvl>
  </w:abstractNum>
  <w:abstractNum w:abstractNumId="1">
    <w:nsid w:val="03114989"/>
    <w:multiLevelType w:val="multilevel"/>
    <w:tmpl w:val="03114989"/>
    <w:lvl w:ilvl="0" w:tentative="0">
      <w:start w:val="1"/>
      <w:numFmt w:val="decimal"/>
      <w:lvlText w:val="%1."/>
      <w:lvlJc w:val="left"/>
      <w:pPr>
        <w:ind w:left="892" w:hanging="420"/>
      </w:pPr>
    </w:lvl>
    <w:lvl w:ilvl="1" w:tentative="0">
      <w:start w:val="1"/>
      <w:numFmt w:val="lowerLetter"/>
      <w:lvlText w:val="%2)"/>
      <w:lvlJc w:val="left"/>
      <w:pPr>
        <w:ind w:left="1312" w:hanging="420"/>
      </w:pPr>
    </w:lvl>
    <w:lvl w:ilvl="2" w:tentative="0">
      <w:start w:val="1"/>
      <w:numFmt w:val="lowerRoman"/>
      <w:lvlText w:val="%3."/>
      <w:lvlJc w:val="right"/>
      <w:pPr>
        <w:ind w:left="1732" w:hanging="420"/>
      </w:pPr>
    </w:lvl>
    <w:lvl w:ilvl="3" w:tentative="0">
      <w:start w:val="1"/>
      <w:numFmt w:val="decimal"/>
      <w:lvlText w:val="%4."/>
      <w:lvlJc w:val="left"/>
      <w:pPr>
        <w:ind w:left="2152" w:hanging="420"/>
      </w:pPr>
    </w:lvl>
    <w:lvl w:ilvl="4" w:tentative="0">
      <w:start w:val="1"/>
      <w:numFmt w:val="lowerLetter"/>
      <w:lvlText w:val="%5)"/>
      <w:lvlJc w:val="left"/>
      <w:pPr>
        <w:ind w:left="2572" w:hanging="420"/>
      </w:pPr>
    </w:lvl>
    <w:lvl w:ilvl="5" w:tentative="0">
      <w:start w:val="1"/>
      <w:numFmt w:val="lowerRoman"/>
      <w:lvlText w:val="%6."/>
      <w:lvlJc w:val="right"/>
      <w:pPr>
        <w:ind w:left="2992" w:hanging="420"/>
      </w:pPr>
    </w:lvl>
    <w:lvl w:ilvl="6" w:tentative="0">
      <w:start w:val="1"/>
      <w:numFmt w:val="decimal"/>
      <w:lvlText w:val="%7."/>
      <w:lvlJc w:val="left"/>
      <w:pPr>
        <w:ind w:left="3412" w:hanging="420"/>
      </w:pPr>
    </w:lvl>
    <w:lvl w:ilvl="7" w:tentative="0">
      <w:start w:val="1"/>
      <w:numFmt w:val="lowerLetter"/>
      <w:lvlText w:val="%8)"/>
      <w:lvlJc w:val="left"/>
      <w:pPr>
        <w:ind w:left="3832" w:hanging="420"/>
      </w:pPr>
    </w:lvl>
    <w:lvl w:ilvl="8" w:tentative="0">
      <w:start w:val="1"/>
      <w:numFmt w:val="lowerRoman"/>
      <w:lvlText w:val="%9."/>
      <w:lvlJc w:val="right"/>
      <w:pPr>
        <w:ind w:left="4252" w:hanging="420"/>
      </w:pPr>
    </w:lvl>
  </w:abstractNum>
  <w:abstractNum w:abstractNumId="2">
    <w:nsid w:val="0EBF738E"/>
    <w:multiLevelType w:val="multilevel"/>
    <w:tmpl w:val="0EBF738E"/>
    <w:lvl w:ilvl="0" w:tentative="0">
      <w:start w:val="1"/>
      <w:numFmt w:val="decimal"/>
      <w:lvlText w:val="%1."/>
      <w:lvlJc w:val="left"/>
      <w:pPr>
        <w:ind w:left="892" w:hanging="420"/>
      </w:pPr>
    </w:lvl>
    <w:lvl w:ilvl="1" w:tentative="0">
      <w:start w:val="1"/>
      <w:numFmt w:val="lowerLetter"/>
      <w:lvlText w:val="%2)"/>
      <w:lvlJc w:val="left"/>
      <w:pPr>
        <w:ind w:left="1312" w:hanging="420"/>
      </w:pPr>
    </w:lvl>
    <w:lvl w:ilvl="2" w:tentative="0">
      <w:start w:val="1"/>
      <w:numFmt w:val="lowerRoman"/>
      <w:lvlText w:val="%3."/>
      <w:lvlJc w:val="right"/>
      <w:pPr>
        <w:ind w:left="1732" w:hanging="420"/>
      </w:pPr>
    </w:lvl>
    <w:lvl w:ilvl="3" w:tentative="0">
      <w:start w:val="1"/>
      <w:numFmt w:val="decimal"/>
      <w:lvlText w:val="%4."/>
      <w:lvlJc w:val="left"/>
      <w:pPr>
        <w:ind w:left="2152" w:hanging="420"/>
      </w:pPr>
    </w:lvl>
    <w:lvl w:ilvl="4" w:tentative="0">
      <w:start w:val="1"/>
      <w:numFmt w:val="lowerLetter"/>
      <w:lvlText w:val="%5)"/>
      <w:lvlJc w:val="left"/>
      <w:pPr>
        <w:ind w:left="2572" w:hanging="420"/>
      </w:pPr>
    </w:lvl>
    <w:lvl w:ilvl="5" w:tentative="0">
      <w:start w:val="1"/>
      <w:numFmt w:val="lowerRoman"/>
      <w:lvlText w:val="%6."/>
      <w:lvlJc w:val="right"/>
      <w:pPr>
        <w:ind w:left="2992" w:hanging="420"/>
      </w:pPr>
    </w:lvl>
    <w:lvl w:ilvl="6" w:tentative="0">
      <w:start w:val="1"/>
      <w:numFmt w:val="decimal"/>
      <w:lvlText w:val="%7."/>
      <w:lvlJc w:val="left"/>
      <w:pPr>
        <w:ind w:left="3412" w:hanging="420"/>
      </w:pPr>
    </w:lvl>
    <w:lvl w:ilvl="7" w:tentative="0">
      <w:start w:val="1"/>
      <w:numFmt w:val="lowerLetter"/>
      <w:lvlText w:val="%8)"/>
      <w:lvlJc w:val="left"/>
      <w:pPr>
        <w:ind w:left="3832" w:hanging="420"/>
      </w:pPr>
    </w:lvl>
    <w:lvl w:ilvl="8" w:tentative="0">
      <w:start w:val="1"/>
      <w:numFmt w:val="lowerRoman"/>
      <w:lvlText w:val="%9."/>
      <w:lvlJc w:val="right"/>
      <w:pPr>
        <w:ind w:left="4252" w:hanging="420"/>
      </w:pPr>
    </w:lvl>
  </w:abstractNum>
  <w:abstractNum w:abstractNumId="3">
    <w:nsid w:val="104F6092"/>
    <w:multiLevelType w:val="multilevel"/>
    <w:tmpl w:val="104F6092"/>
    <w:lvl w:ilvl="0" w:tentative="0">
      <w:start w:val="1"/>
      <w:numFmt w:val="decimal"/>
      <w:lvlText w:val="%1."/>
      <w:lvlJc w:val="left"/>
      <w:pPr>
        <w:ind w:left="892" w:hanging="420"/>
      </w:pPr>
    </w:lvl>
    <w:lvl w:ilvl="1" w:tentative="0">
      <w:start w:val="1"/>
      <w:numFmt w:val="lowerLetter"/>
      <w:lvlText w:val="%2)"/>
      <w:lvlJc w:val="left"/>
      <w:pPr>
        <w:ind w:left="1312" w:hanging="420"/>
      </w:pPr>
    </w:lvl>
    <w:lvl w:ilvl="2" w:tentative="0">
      <w:start w:val="1"/>
      <w:numFmt w:val="lowerRoman"/>
      <w:lvlText w:val="%3."/>
      <w:lvlJc w:val="right"/>
      <w:pPr>
        <w:ind w:left="1732" w:hanging="420"/>
      </w:pPr>
    </w:lvl>
    <w:lvl w:ilvl="3" w:tentative="0">
      <w:start w:val="1"/>
      <w:numFmt w:val="decimal"/>
      <w:lvlText w:val="%4."/>
      <w:lvlJc w:val="left"/>
      <w:pPr>
        <w:ind w:left="2152" w:hanging="420"/>
      </w:pPr>
    </w:lvl>
    <w:lvl w:ilvl="4" w:tentative="0">
      <w:start w:val="1"/>
      <w:numFmt w:val="lowerLetter"/>
      <w:lvlText w:val="%5)"/>
      <w:lvlJc w:val="left"/>
      <w:pPr>
        <w:ind w:left="2572" w:hanging="420"/>
      </w:pPr>
    </w:lvl>
    <w:lvl w:ilvl="5" w:tentative="0">
      <w:start w:val="1"/>
      <w:numFmt w:val="lowerRoman"/>
      <w:lvlText w:val="%6."/>
      <w:lvlJc w:val="right"/>
      <w:pPr>
        <w:ind w:left="2992" w:hanging="420"/>
      </w:pPr>
    </w:lvl>
    <w:lvl w:ilvl="6" w:tentative="0">
      <w:start w:val="1"/>
      <w:numFmt w:val="decimal"/>
      <w:lvlText w:val="%7."/>
      <w:lvlJc w:val="left"/>
      <w:pPr>
        <w:ind w:left="3412" w:hanging="420"/>
      </w:pPr>
    </w:lvl>
    <w:lvl w:ilvl="7" w:tentative="0">
      <w:start w:val="1"/>
      <w:numFmt w:val="lowerLetter"/>
      <w:lvlText w:val="%8)"/>
      <w:lvlJc w:val="left"/>
      <w:pPr>
        <w:ind w:left="3832" w:hanging="420"/>
      </w:pPr>
    </w:lvl>
    <w:lvl w:ilvl="8" w:tentative="0">
      <w:start w:val="1"/>
      <w:numFmt w:val="lowerRoman"/>
      <w:lvlText w:val="%9."/>
      <w:lvlJc w:val="right"/>
      <w:pPr>
        <w:ind w:left="4252" w:hanging="420"/>
      </w:pPr>
    </w:lvl>
  </w:abstractNum>
  <w:abstractNum w:abstractNumId="4">
    <w:nsid w:val="231F1EEC"/>
    <w:multiLevelType w:val="multilevel"/>
    <w:tmpl w:val="231F1EEC"/>
    <w:lvl w:ilvl="0" w:tentative="0">
      <w:start w:val="1"/>
      <w:numFmt w:val="decimal"/>
      <w:lvlText w:val="%1."/>
      <w:lvlJc w:val="left"/>
      <w:pPr>
        <w:ind w:left="892" w:hanging="420"/>
      </w:pPr>
    </w:lvl>
    <w:lvl w:ilvl="1" w:tentative="0">
      <w:start w:val="1"/>
      <w:numFmt w:val="lowerLetter"/>
      <w:lvlText w:val="%2)"/>
      <w:lvlJc w:val="left"/>
      <w:pPr>
        <w:ind w:left="1312" w:hanging="420"/>
      </w:pPr>
    </w:lvl>
    <w:lvl w:ilvl="2" w:tentative="0">
      <w:start w:val="1"/>
      <w:numFmt w:val="lowerRoman"/>
      <w:lvlText w:val="%3."/>
      <w:lvlJc w:val="right"/>
      <w:pPr>
        <w:ind w:left="1732" w:hanging="420"/>
      </w:pPr>
    </w:lvl>
    <w:lvl w:ilvl="3" w:tentative="0">
      <w:start w:val="1"/>
      <w:numFmt w:val="decimal"/>
      <w:lvlText w:val="%4."/>
      <w:lvlJc w:val="left"/>
      <w:pPr>
        <w:ind w:left="2152" w:hanging="420"/>
      </w:pPr>
    </w:lvl>
    <w:lvl w:ilvl="4" w:tentative="0">
      <w:start w:val="1"/>
      <w:numFmt w:val="lowerLetter"/>
      <w:lvlText w:val="%5)"/>
      <w:lvlJc w:val="left"/>
      <w:pPr>
        <w:ind w:left="2572" w:hanging="420"/>
      </w:pPr>
    </w:lvl>
    <w:lvl w:ilvl="5" w:tentative="0">
      <w:start w:val="1"/>
      <w:numFmt w:val="lowerRoman"/>
      <w:lvlText w:val="%6."/>
      <w:lvlJc w:val="right"/>
      <w:pPr>
        <w:ind w:left="2992" w:hanging="420"/>
      </w:pPr>
    </w:lvl>
    <w:lvl w:ilvl="6" w:tentative="0">
      <w:start w:val="1"/>
      <w:numFmt w:val="decimal"/>
      <w:lvlText w:val="%7."/>
      <w:lvlJc w:val="left"/>
      <w:pPr>
        <w:ind w:left="3412" w:hanging="420"/>
      </w:pPr>
    </w:lvl>
    <w:lvl w:ilvl="7" w:tentative="0">
      <w:start w:val="1"/>
      <w:numFmt w:val="lowerLetter"/>
      <w:lvlText w:val="%8)"/>
      <w:lvlJc w:val="left"/>
      <w:pPr>
        <w:ind w:left="3832" w:hanging="420"/>
      </w:pPr>
    </w:lvl>
    <w:lvl w:ilvl="8" w:tentative="0">
      <w:start w:val="1"/>
      <w:numFmt w:val="lowerRoman"/>
      <w:lvlText w:val="%9."/>
      <w:lvlJc w:val="right"/>
      <w:pPr>
        <w:ind w:left="4252" w:hanging="420"/>
      </w:pPr>
    </w:lvl>
  </w:abstractNum>
  <w:abstractNum w:abstractNumId="5">
    <w:nsid w:val="3D3431D8"/>
    <w:multiLevelType w:val="multilevel"/>
    <w:tmpl w:val="3D3431D8"/>
    <w:lvl w:ilvl="0" w:tentative="0">
      <w:start w:val="1"/>
      <w:numFmt w:val="decimal"/>
      <w:lvlText w:val="%1."/>
      <w:lvlJc w:val="left"/>
      <w:pPr>
        <w:ind w:left="892" w:hanging="420"/>
      </w:pPr>
    </w:lvl>
    <w:lvl w:ilvl="1" w:tentative="0">
      <w:start w:val="1"/>
      <w:numFmt w:val="lowerLetter"/>
      <w:lvlText w:val="%2)"/>
      <w:lvlJc w:val="left"/>
      <w:pPr>
        <w:ind w:left="1312" w:hanging="420"/>
      </w:pPr>
    </w:lvl>
    <w:lvl w:ilvl="2" w:tentative="0">
      <w:start w:val="1"/>
      <w:numFmt w:val="lowerRoman"/>
      <w:lvlText w:val="%3."/>
      <w:lvlJc w:val="right"/>
      <w:pPr>
        <w:ind w:left="1732" w:hanging="420"/>
      </w:pPr>
    </w:lvl>
    <w:lvl w:ilvl="3" w:tentative="0">
      <w:start w:val="1"/>
      <w:numFmt w:val="decimal"/>
      <w:lvlText w:val="%4."/>
      <w:lvlJc w:val="left"/>
      <w:pPr>
        <w:ind w:left="2152" w:hanging="420"/>
      </w:pPr>
    </w:lvl>
    <w:lvl w:ilvl="4" w:tentative="0">
      <w:start w:val="1"/>
      <w:numFmt w:val="lowerLetter"/>
      <w:lvlText w:val="%5)"/>
      <w:lvlJc w:val="left"/>
      <w:pPr>
        <w:ind w:left="2572" w:hanging="420"/>
      </w:pPr>
    </w:lvl>
    <w:lvl w:ilvl="5" w:tentative="0">
      <w:start w:val="1"/>
      <w:numFmt w:val="lowerRoman"/>
      <w:lvlText w:val="%6."/>
      <w:lvlJc w:val="right"/>
      <w:pPr>
        <w:ind w:left="2992" w:hanging="420"/>
      </w:pPr>
    </w:lvl>
    <w:lvl w:ilvl="6" w:tentative="0">
      <w:start w:val="1"/>
      <w:numFmt w:val="decimal"/>
      <w:lvlText w:val="%7."/>
      <w:lvlJc w:val="left"/>
      <w:pPr>
        <w:ind w:left="3412" w:hanging="420"/>
      </w:pPr>
    </w:lvl>
    <w:lvl w:ilvl="7" w:tentative="0">
      <w:start w:val="1"/>
      <w:numFmt w:val="lowerLetter"/>
      <w:lvlText w:val="%8)"/>
      <w:lvlJc w:val="left"/>
      <w:pPr>
        <w:ind w:left="3832" w:hanging="420"/>
      </w:pPr>
    </w:lvl>
    <w:lvl w:ilvl="8" w:tentative="0">
      <w:start w:val="1"/>
      <w:numFmt w:val="lowerRoman"/>
      <w:lvlText w:val="%9."/>
      <w:lvlJc w:val="right"/>
      <w:pPr>
        <w:ind w:left="4252" w:hanging="420"/>
      </w:pPr>
    </w:lvl>
  </w:abstractNum>
  <w:abstractNum w:abstractNumId="6">
    <w:nsid w:val="4E8769E1"/>
    <w:multiLevelType w:val="multilevel"/>
    <w:tmpl w:val="4E8769E1"/>
    <w:lvl w:ilvl="0" w:tentative="0">
      <w:start w:val="1"/>
      <w:numFmt w:val="decimal"/>
      <w:lvlText w:val="%1."/>
      <w:lvlJc w:val="left"/>
      <w:pPr>
        <w:ind w:left="892" w:hanging="420"/>
      </w:pPr>
    </w:lvl>
    <w:lvl w:ilvl="1" w:tentative="0">
      <w:start w:val="1"/>
      <w:numFmt w:val="lowerLetter"/>
      <w:lvlText w:val="%2)"/>
      <w:lvlJc w:val="left"/>
      <w:pPr>
        <w:ind w:left="1312" w:hanging="420"/>
      </w:pPr>
    </w:lvl>
    <w:lvl w:ilvl="2" w:tentative="0">
      <w:start w:val="1"/>
      <w:numFmt w:val="lowerRoman"/>
      <w:lvlText w:val="%3."/>
      <w:lvlJc w:val="right"/>
      <w:pPr>
        <w:ind w:left="1732" w:hanging="420"/>
      </w:pPr>
    </w:lvl>
    <w:lvl w:ilvl="3" w:tentative="0">
      <w:start w:val="1"/>
      <w:numFmt w:val="decimal"/>
      <w:lvlText w:val="%4."/>
      <w:lvlJc w:val="left"/>
      <w:pPr>
        <w:ind w:left="2152" w:hanging="420"/>
      </w:pPr>
    </w:lvl>
    <w:lvl w:ilvl="4" w:tentative="0">
      <w:start w:val="1"/>
      <w:numFmt w:val="lowerLetter"/>
      <w:lvlText w:val="%5)"/>
      <w:lvlJc w:val="left"/>
      <w:pPr>
        <w:ind w:left="2572" w:hanging="420"/>
      </w:pPr>
    </w:lvl>
    <w:lvl w:ilvl="5" w:tentative="0">
      <w:start w:val="1"/>
      <w:numFmt w:val="lowerRoman"/>
      <w:lvlText w:val="%6."/>
      <w:lvlJc w:val="right"/>
      <w:pPr>
        <w:ind w:left="2992" w:hanging="420"/>
      </w:pPr>
    </w:lvl>
    <w:lvl w:ilvl="6" w:tentative="0">
      <w:start w:val="1"/>
      <w:numFmt w:val="decimal"/>
      <w:lvlText w:val="%7."/>
      <w:lvlJc w:val="left"/>
      <w:pPr>
        <w:ind w:left="3412" w:hanging="420"/>
      </w:pPr>
    </w:lvl>
    <w:lvl w:ilvl="7" w:tentative="0">
      <w:start w:val="1"/>
      <w:numFmt w:val="lowerLetter"/>
      <w:lvlText w:val="%8)"/>
      <w:lvlJc w:val="left"/>
      <w:pPr>
        <w:ind w:left="3832" w:hanging="420"/>
      </w:pPr>
    </w:lvl>
    <w:lvl w:ilvl="8" w:tentative="0">
      <w:start w:val="1"/>
      <w:numFmt w:val="lowerRoman"/>
      <w:lvlText w:val="%9."/>
      <w:lvlJc w:val="right"/>
      <w:pPr>
        <w:ind w:left="4252" w:hanging="420"/>
      </w:pPr>
    </w:lvl>
  </w:abstractNum>
  <w:abstractNum w:abstractNumId="7">
    <w:nsid w:val="50AE6763"/>
    <w:multiLevelType w:val="multilevel"/>
    <w:tmpl w:val="50AE6763"/>
    <w:lvl w:ilvl="0" w:tentative="0">
      <w:start w:val="1"/>
      <w:numFmt w:val="decimal"/>
      <w:lvlText w:val="%1."/>
      <w:lvlJc w:val="left"/>
      <w:pPr>
        <w:ind w:left="892" w:hanging="420"/>
      </w:pPr>
    </w:lvl>
    <w:lvl w:ilvl="1" w:tentative="0">
      <w:start w:val="1"/>
      <w:numFmt w:val="lowerLetter"/>
      <w:lvlText w:val="%2)"/>
      <w:lvlJc w:val="left"/>
      <w:pPr>
        <w:ind w:left="1312" w:hanging="420"/>
      </w:pPr>
    </w:lvl>
    <w:lvl w:ilvl="2" w:tentative="0">
      <w:start w:val="1"/>
      <w:numFmt w:val="lowerRoman"/>
      <w:lvlText w:val="%3."/>
      <w:lvlJc w:val="right"/>
      <w:pPr>
        <w:ind w:left="1732" w:hanging="420"/>
      </w:pPr>
    </w:lvl>
    <w:lvl w:ilvl="3" w:tentative="0">
      <w:start w:val="1"/>
      <w:numFmt w:val="decimal"/>
      <w:lvlText w:val="%4."/>
      <w:lvlJc w:val="left"/>
      <w:pPr>
        <w:ind w:left="2152" w:hanging="420"/>
      </w:pPr>
    </w:lvl>
    <w:lvl w:ilvl="4" w:tentative="0">
      <w:start w:val="1"/>
      <w:numFmt w:val="lowerLetter"/>
      <w:lvlText w:val="%5)"/>
      <w:lvlJc w:val="left"/>
      <w:pPr>
        <w:ind w:left="2572" w:hanging="420"/>
      </w:pPr>
    </w:lvl>
    <w:lvl w:ilvl="5" w:tentative="0">
      <w:start w:val="1"/>
      <w:numFmt w:val="lowerRoman"/>
      <w:lvlText w:val="%6."/>
      <w:lvlJc w:val="right"/>
      <w:pPr>
        <w:ind w:left="2992" w:hanging="420"/>
      </w:pPr>
    </w:lvl>
    <w:lvl w:ilvl="6" w:tentative="0">
      <w:start w:val="1"/>
      <w:numFmt w:val="decimal"/>
      <w:lvlText w:val="%7."/>
      <w:lvlJc w:val="left"/>
      <w:pPr>
        <w:ind w:left="3412" w:hanging="420"/>
      </w:pPr>
    </w:lvl>
    <w:lvl w:ilvl="7" w:tentative="0">
      <w:start w:val="1"/>
      <w:numFmt w:val="lowerLetter"/>
      <w:lvlText w:val="%8)"/>
      <w:lvlJc w:val="left"/>
      <w:pPr>
        <w:ind w:left="3832" w:hanging="420"/>
      </w:pPr>
    </w:lvl>
    <w:lvl w:ilvl="8" w:tentative="0">
      <w:start w:val="1"/>
      <w:numFmt w:val="lowerRoman"/>
      <w:lvlText w:val="%9."/>
      <w:lvlJc w:val="right"/>
      <w:pPr>
        <w:ind w:left="4252" w:hanging="420"/>
      </w:pPr>
    </w:lvl>
  </w:abstractNum>
  <w:abstractNum w:abstractNumId="8">
    <w:nsid w:val="52F07EC5"/>
    <w:multiLevelType w:val="multilevel"/>
    <w:tmpl w:val="52F07EC5"/>
    <w:lvl w:ilvl="0" w:tentative="0">
      <w:start w:val="1"/>
      <w:numFmt w:val="decimal"/>
      <w:lvlText w:val="%1."/>
      <w:lvlJc w:val="left"/>
      <w:pPr>
        <w:ind w:left="892" w:hanging="420"/>
      </w:pPr>
    </w:lvl>
    <w:lvl w:ilvl="1" w:tentative="0">
      <w:start w:val="1"/>
      <w:numFmt w:val="lowerLetter"/>
      <w:lvlText w:val="%2)"/>
      <w:lvlJc w:val="left"/>
      <w:pPr>
        <w:ind w:left="1312" w:hanging="420"/>
      </w:pPr>
    </w:lvl>
    <w:lvl w:ilvl="2" w:tentative="0">
      <w:start w:val="1"/>
      <w:numFmt w:val="lowerRoman"/>
      <w:lvlText w:val="%3."/>
      <w:lvlJc w:val="right"/>
      <w:pPr>
        <w:ind w:left="1732" w:hanging="420"/>
      </w:pPr>
    </w:lvl>
    <w:lvl w:ilvl="3" w:tentative="0">
      <w:start w:val="1"/>
      <w:numFmt w:val="decimal"/>
      <w:lvlText w:val="%4."/>
      <w:lvlJc w:val="left"/>
      <w:pPr>
        <w:ind w:left="2152" w:hanging="420"/>
      </w:pPr>
    </w:lvl>
    <w:lvl w:ilvl="4" w:tentative="0">
      <w:start w:val="1"/>
      <w:numFmt w:val="lowerLetter"/>
      <w:lvlText w:val="%5)"/>
      <w:lvlJc w:val="left"/>
      <w:pPr>
        <w:ind w:left="2572" w:hanging="420"/>
      </w:pPr>
    </w:lvl>
    <w:lvl w:ilvl="5" w:tentative="0">
      <w:start w:val="1"/>
      <w:numFmt w:val="lowerRoman"/>
      <w:lvlText w:val="%6."/>
      <w:lvlJc w:val="right"/>
      <w:pPr>
        <w:ind w:left="2992" w:hanging="420"/>
      </w:pPr>
    </w:lvl>
    <w:lvl w:ilvl="6" w:tentative="0">
      <w:start w:val="1"/>
      <w:numFmt w:val="decimal"/>
      <w:lvlText w:val="%7."/>
      <w:lvlJc w:val="left"/>
      <w:pPr>
        <w:ind w:left="3412" w:hanging="420"/>
      </w:pPr>
    </w:lvl>
    <w:lvl w:ilvl="7" w:tentative="0">
      <w:start w:val="1"/>
      <w:numFmt w:val="lowerLetter"/>
      <w:lvlText w:val="%8)"/>
      <w:lvlJc w:val="left"/>
      <w:pPr>
        <w:ind w:left="3832" w:hanging="420"/>
      </w:pPr>
    </w:lvl>
    <w:lvl w:ilvl="8" w:tentative="0">
      <w:start w:val="1"/>
      <w:numFmt w:val="lowerRoman"/>
      <w:lvlText w:val="%9."/>
      <w:lvlJc w:val="right"/>
      <w:pPr>
        <w:ind w:left="4252" w:hanging="420"/>
      </w:pPr>
    </w:lvl>
  </w:abstractNum>
  <w:abstractNum w:abstractNumId="9">
    <w:nsid w:val="5A5950F8"/>
    <w:multiLevelType w:val="multilevel"/>
    <w:tmpl w:val="5A5950F8"/>
    <w:lvl w:ilvl="0" w:tentative="0">
      <w:start w:val="1"/>
      <w:numFmt w:val="decimal"/>
      <w:lvlText w:val="%1."/>
      <w:lvlJc w:val="left"/>
      <w:pPr>
        <w:ind w:left="892" w:hanging="420"/>
      </w:pPr>
    </w:lvl>
    <w:lvl w:ilvl="1" w:tentative="0">
      <w:start w:val="1"/>
      <w:numFmt w:val="lowerLetter"/>
      <w:lvlText w:val="%2)"/>
      <w:lvlJc w:val="left"/>
      <w:pPr>
        <w:ind w:left="1312" w:hanging="420"/>
      </w:pPr>
    </w:lvl>
    <w:lvl w:ilvl="2" w:tentative="0">
      <w:start w:val="1"/>
      <w:numFmt w:val="lowerRoman"/>
      <w:lvlText w:val="%3."/>
      <w:lvlJc w:val="right"/>
      <w:pPr>
        <w:ind w:left="1732" w:hanging="420"/>
      </w:pPr>
    </w:lvl>
    <w:lvl w:ilvl="3" w:tentative="0">
      <w:start w:val="1"/>
      <w:numFmt w:val="decimal"/>
      <w:lvlText w:val="%4."/>
      <w:lvlJc w:val="left"/>
      <w:pPr>
        <w:ind w:left="2152" w:hanging="420"/>
      </w:pPr>
    </w:lvl>
    <w:lvl w:ilvl="4" w:tentative="0">
      <w:start w:val="1"/>
      <w:numFmt w:val="lowerLetter"/>
      <w:lvlText w:val="%5)"/>
      <w:lvlJc w:val="left"/>
      <w:pPr>
        <w:ind w:left="2572" w:hanging="420"/>
      </w:pPr>
    </w:lvl>
    <w:lvl w:ilvl="5" w:tentative="0">
      <w:start w:val="1"/>
      <w:numFmt w:val="lowerRoman"/>
      <w:lvlText w:val="%6."/>
      <w:lvlJc w:val="right"/>
      <w:pPr>
        <w:ind w:left="2992" w:hanging="420"/>
      </w:pPr>
    </w:lvl>
    <w:lvl w:ilvl="6" w:tentative="0">
      <w:start w:val="1"/>
      <w:numFmt w:val="decimal"/>
      <w:lvlText w:val="%7."/>
      <w:lvlJc w:val="left"/>
      <w:pPr>
        <w:ind w:left="3412" w:hanging="420"/>
      </w:pPr>
    </w:lvl>
    <w:lvl w:ilvl="7" w:tentative="0">
      <w:start w:val="1"/>
      <w:numFmt w:val="lowerLetter"/>
      <w:lvlText w:val="%8)"/>
      <w:lvlJc w:val="left"/>
      <w:pPr>
        <w:ind w:left="3832" w:hanging="420"/>
      </w:pPr>
    </w:lvl>
    <w:lvl w:ilvl="8" w:tentative="0">
      <w:start w:val="1"/>
      <w:numFmt w:val="lowerRoman"/>
      <w:lvlText w:val="%9."/>
      <w:lvlJc w:val="right"/>
      <w:pPr>
        <w:ind w:left="4252" w:hanging="420"/>
      </w:pPr>
    </w:lvl>
  </w:abstractNum>
  <w:abstractNum w:abstractNumId="10">
    <w:nsid w:val="62DF5DFE"/>
    <w:multiLevelType w:val="multilevel"/>
    <w:tmpl w:val="62DF5DFE"/>
    <w:lvl w:ilvl="0" w:tentative="0">
      <w:start w:val="1"/>
      <w:numFmt w:val="decimal"/>
      <w:lvlText w:val="%1."/>
      <w:lvlJc w:val="left"/>
      <w:pPr>
        <w:ind w:left="892" w:hanging="420"/>
      </w:pPr>
    </w:lvl>
    <w:lvl w:ilvl="1" w:tentative="0">
      <w:start w:val="1"/>
      <w:numFmt w:val="lowerLetter"/>
      <w:lvlText w:val="%2)"/>
      <w:lvlJc w:val="left"/>
      <w:pPr>
        <w:ind w:left="1312" w:hanging="420"/>
      </w:pPr>
    </w:lvl>
    <w:lvl w:ilvl="2" w:tentative="0">
      <w:start w:val="1"/>
      <w:numFmt w:val="lowerRoman"/>
      <w:lvlText w:val="%3."/>
      <w:lvlJc w:val="right"/>
      <w:pPr>
        <w:ind w:left="1732" w:hanging="420"/>
      </w:pPr>
    </w:lvl>
    <w:lvl w:ilvl="3" w:tentative="0">
      <w:start w:val="1"/>
      <w:numFmt w:val="decimal"/>
      <w:lvlText w:val="%4."/>
      <w:lvlJc w:val="left"/>
      <w:pPr>
        <w:ind w:left="2152" w:hanging="420"/>
      </w:pPr>
    </w:lvl>
    <w:lvl w:ilvl="4" w:tentative="0">
      <w:start w:val="1"/>
      <w:numFmt w:val="lowerLetter"/>
      <w:lvlText w:val="%5)"/>
      <w:lvlJc w:val="left"/>
      <w:pPr>
        <w:ind w:left="2572" w:hanging="420"/>
      </w:pPr>
    </w:lvl>
    <w:lvl w:ilvl="5" w:tentative="0">
      <w:start w:val="1"/>
      <w:numFmt w:val="lowerRoman"/>
      <w:lvlText w:val="%6."/>
      <w:lvlJc w:val="right"/>
      <w:pPr>
        <w:ind w:left="2992" w:hanging="420"/>
      </w:pPr>
    </w:lvl>
    <w:lvl w:ilvl="6" w:tentative="0">
      <w:start w:val="1"/>
      <w:numFmt w:val="decimal"/>
      <w:lvlText w:val="%7."/>
      <w:lvlJc w:val="left"/>
      <w:pPr>
        <w:ind w:left="3412" w:hanging="420"/>
      </w:pPr>
    </w:lvl>
    <w:lvl w:ilvl="7" w:tentative="0">
      <w:start w:val="1"/>
      <w:numFmt w:val="lowerLetter"/>
      <w:lvlText w:val="%8)"/>
      <w:lvlJc w:val="left"/>
      <w:pPr>
        <w:ind w:left="3832" w:hanging="420"/>
      </w:pPr>
    </w:lvl>
    <w:lvl w:ilvl="8" w:tentative="0">
      <w:start w:val="1"/>
      <w:numFmt w:val="lowerRoman"/>
      <w:lvlText w:val="%9."/>
      <w:lvlJc w:val="right"/>
      <w:pPr>
        <w:ind w:left="4252" w:hanging="420"/>
      </w:pPr>
    </w:lvl>
  </w:abstractNum>
  <w:abstractNum w:abstractNumId="11">
    <w:nsid w:val="63D8242C"/>
    <w:multiLevelType w:val="multilevel"/>
    <w:tmpl w:val="63D8242C"/>
    <w:lvl w:ilvl="0" w:tentative="0">
      <w:start w:val="1"/>
      <w:numFmt w:val="decimal"/>
      <w:lvlText w:val="%1、"/>
      <w:lvlJc w:val="left"/>
      <w:pPr>
        <w:ind w:left="832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12" w:hanging="420"/>
      </w:pPr>
    </w:lvl>
    <w:lvl w:ilvl="2" w:tentative="0">
      <w:start w:val="1"/>
      <w:numFmt w:val="lowerRoman"/>
      <w:lvlText w:val="%3."/>
      <w:lvlJc w:val="right"/>
      <w:pPr>
        <w:ind w:left="1732" w:hanging="420"/>
      </w:pPr>
    </w:lvl>
    <w:lvl w:ilvl="3" w:tentative="0">
      <w:start w:val="1"/>
      <w:numFmt w:val="decimal"/>
      <w:lvlText w:val="%4."/>
      <w:lvlJc w:val="left"/>
      <w:pPr>
        <w:ind w:left="2152" w:hanging="420"/>
      </w:pPr>
    </w:lvl>
    <w:lvl w:ilvl="4" w:tentative="0">
      <w:start w:val="1"/>
      <w:numFmt w:val="lowerLetter"/>
      <w:lvlText w:val="%5)"/>
      <w:lvlJc w:val="left"/>
      <w:pPr>
        <w:ind w:left="2572" w:hanging="420"/>
      </w:pPr>
    </w:lvl>
    <w:lvl w:ilvl="5" w:tentative="0">
      <w:start w:val="1"/>
      <w:numFmt w:val="lowerRoman"/>
      <w:lvlText w:val="%6."/>
      <w:lvlJc w:val="right"/>
      <w:pPr>
        <w:ind w:left="2992" w:hanging="420"/>
      </w:pPr>
    </w:lvl>
    <w:lvl w:ilvl="6" w:tentative="0">
      <w:start w:val="1"/>
      <w:numFmt w:val="decimal"/>
      <w:lvlText w:val="%7."/>
      <w:lvlJc w:val="left"/>
      <w:pPr>
        <w:ind w:left="3412" w:hanging="420"/>
      </w:pPr>
    </w:lvl>
    <w:lvl w:ilvl="7" w:tentative="0">
      <w:start w:val="1"/>
      <w:numFmt w:val="lowerLetter"/>
      <w:lvlText w:val="%8)"/>
      <w:lvlJc w:val="left"/>
      <w:pPr>
        <w:ind w:left="3832" w:hanging="420"/>
      </w:pPr>
    </w:lvl>
    <w:lvl w:ilvl="8" w:tentative="0">
      <w:start w:val="1"/>
      <w:numFmt w:val="lowerRoman"/>
      <w:lvlText w:val="%9."/>
      <w:lvlJc w:val="right"/>
      <w:pPr>
        <w:ind w:left="4252" w:hanging="420"/>
      </w:pPr>
    </w:lvl>
  </w:abstractNum>
  <w:abstractNum w:abstractNumId="12">
    <w:nsid w:val="68671511"/>
    <w:multiLevelType w:val="multilevel"/>
    <w:tmpl w:val="68671511"/>
    <w:lvl w:ilvl="0" w:tentative="0">
      <w:start w:val="1"/>
      <w:numFmt w:val="decimal"/>
      <w:lvlText w:val="%1."/>
      <w:lvlJc w:val="left"/>
      <w:pPr>
        <w:ind w:left="892" w:hanging="420"/>
      </w:pPr>
    </w:lvl>
    <w:lvl w:ilvl="1" w:tentative="0">
      <w:start w:val="1"/>
      <w:numFmt w:val="lowerLetter"/>
      <w:lvlText w:val="%2)"/>
      <w:lvlJc w:val="left"/>
      <w:pPr>
        <w:ind w:left="1312" w:hanging="420"/>
      </w:pPr>
    </w:lvl>
    <w:lvl w:ilvl="2" w:tentative="0">
      <w:start w:val="1"/>
      <w:numFmt w:val="lowerRoman"/>
      <w:lvlText w:val="%3."/>
      <w:lvlJc w:val="right"/>
      <w:pPr>
        <w:ind w:left="1732" w:hanging="420"/>
      </w:pPr>
    </w:lvl>
    <w:lvl w:ilvl="3" w:tentative="0">
      <w:start w:val="1"/>
      <w:numFmt w:val="decimal"/>
      <w:lvlText w:val="%4."/>
      <w:lvlJc w:val="left"/>
      <w:pPr>
        <w:ind w:left="2152" w:hanging="420"/>
      </w:pPr>
    </w:lvl>
    <w:lvl w:ilvl="4" w:tentative="0">
      <w:start w:val="1"/>
      <w:numFmt w:val="lowerLetter"/>
      <w:lvlText w:val="%5)"/>
      <w:lvlJc w:val="left"/>
      <w:pPr>
        <w:ind w:left="2572" w:hanging="420"/>
      </w:pPr>
    </w:lvl>
    <w:lvl w:ilvl="5" w:tentative="0">
      <w:start w:val="1"/>
      <w:numFmt w:val="lowerRoman"/>
      <w:lvlText w:val="%6."/>
      <w:lvlJc w:val="right"/>
      <w:pPr>
        <w:ind w:left="2992" w:hanging="420"/>
      </w:pPr>
    </w:lvl>
    <w:lvl w:ilvl="6" w:tentative="0">
      <w:start w:val="1"/>
      <w:numFmt w:val="decimal"/>
      <w:lvlText w:val="%7."/>
      <w:lvlJc w:val="left"/>
      <w:pPr>
        <w:ind w:left="3412" w:hanging="420"/>
      </w:pPr>
    </w:lvl>
    <w:lvl w:ilvl="7" w:tentative="0">
      <w:start w:val="1"/>
      <w:numFmt w:val="lowerLetter"/>
      <w:lvlText w:val="%8)"/>
      <w:lvlJc w:val="left"/>
      <w:pPr>
        <w:ind w:left="3832" w:hanging="420"/>
      </w:pPr>
    </w:lvl>
    <w:lvl w:ilvl="8" w:tentative="0">
      <w:start w:val="1"/>
      <w:numFmt w:val="lowerRoman"/>
      <w:lvlText w:val="%9."/>
      <w:lvlJc w:val="right"/>
      <w:pPr>
        <w:ind w:left="4252" w:hanging="420"/>
      </w:pPr>
    </w:lvl>
  </w:abstractNum>
  <w:abstractNum w:abstractNumId="13">
    <w:nsid w:val="76DE64FA"/>
    <w:multiLevelType w:val="multilevel"/>
    <w:tmpl w:val="76DE64FA"/>
    <w:lvl w:ilvl="0" w:tentative="0">
      <w:start w:val="1"/>
      <w:numFmt w:val="decimal"/>
      <w:lvlText w:val="%1."/>
      <w:lvlJc w:val="left"/>
      <w:pPr>
        <w:ind w:left="892" w:hanging="420"/>
      </w:pPr>
    </w:lvl>
    <w:lvl w:ilvl="1" w:tentative="0">
      <w:start w:val="1"/>
      <w:numFmt w:val="lowerLetter"/>
      <w:lvlText w:val="%2)"/>
      <w:lvlJc w:val="left"/>
      <w:pPr>
        <w:ind w:left="1312" w:hanging="420"/>
      </w:pPr>
    </w:lvl>
    <w:lvl w:ilvl="2" w:tentative="0">
      <w:start w:val="1"/>
      <w:numFmt w:val="lowerRoman"/>
      <w:lvlText w:val="%3."/>
      <w:lvlJc w:val="right"/>
      <w:pPr>
        <w:ind w:left="1732" w:hanging="420"/>
      </w:pPr>
    </w:lvl>
    <w:lvl w:ilvl="3" w:tentative="0">
      <w:start w:val="1"/>
      <w:numFmt w:val="decimal"/>
      <w:lvlText w:val="%4."/>
      <w:lvlJc w:val="left"/>
      <w:pPr>
        <w:ind w:left="2152" w:hanging="420"/>
      </w:pPr>
    </w:lvl>
    <w:lvl w:ilvl="4" w:tentative="0">
      <w:start w:val="1"/>
      <w:numFmt w:val="lowerLetter"/>
      <w:lvlText w:val="%5)"/>
      <w:lvlJc w:val="left"/>
      <w:pPr>
        <w:ind w:left="2572" w:hanging="420"/>
      </w:pPr>
    </w:lvl>
    <w:lvl w:ilvl="5" w:tentative="0">
      <w:start w:val="1"/>
      <w:numFmt w:val="lowerRoman"/>
      <w:lvlText w:val="%6."/>
      <w:lvlJc w:val="right"/>
      <w:pPr>
        <w:ind w:left="2992" w:hanging="420"/>
      </w:pPr>
    </w:lvl>
    <w:lvl w:ilvl="6" w:tentative="0">
      <w:start w:val="1"/>
      <w:numFmt w:val="decimal"/>
      <w:lvlText w:val="%7."/>
      <w:lvlJc w:val="left"/>
      <w:pPr>
        <w:ind w:left="3412" w:hanging="420"/>
      </w:pPr>
    </w:lvl>
    <w:lvl w:ilvl="7" w:tentative="0">
      <w:start w:val="1"/>
      <w:numFmt w:val="lowerLetter"/>
      <w:lvlText w:val="%8)"/>
      <w:lvlJc w:val="left"/>
      <w:pPr>
        <w:ind w:left="3832" w:hanging="420"/>
      </w:pPr>
    </w:lvl>
    <w:lvl w:ilvl="8" w:tentative="0">
      <w:start w:val="1"/>
      <w:numFmt w:val="lowerRoman"/>
      <w:lvlText w:val="%9."/>
      <w:lvlJc w:val="right"/>
      <w:pPr>
        <w:ind w:left="4252" w:hanging="420"/>
      </w:p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9"/>
  </w:num>
  <w:num w:numId="5">
    <w:abstractNumId w:val="1"/>
  </w:num>
  <w:num w:numId="6">
    <w:abstractNumId w:val="4"/>
  </w:num>
  <w:num w:numId="7">
    <w:abstractNumId w:val="6"/>
  </w:num>
  <w:num w:numId="8">
    <w:abstractNumId w:val="3"/>
  </w:num>
  <w:num w:numId="9">
    <w:abstractNumId w:val="13"/>
  </w:num>
  <w:num w:numId="10">
    <w:abstractNumId w:val="2"/>
  </w:num>
  <w:num w:numId="11">
    <w:abstractNumId w:val="10"/>
  </w:num>
  <w:num w:numId="12">
    <w:abstractNumId w:val="11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BkMjQzM2IyNjE2MWJjNGM3MmFmYjUwM2VhOWZmM2IifQ=="/>
  </w:docVars>
  <w:rsids>
    <w:rsidRoot w:val="6C612382"/>
    <w:rsid w:val="00013EC9"/>
    <w:rsid w:val="00027A51"/>
    <w:rsid w:val="00031CAB"/>
    <w:rsid w:val="00032BD3"/>
    <w:rsid w:val="00066776"/>
    <w:rsid w:val="00080FAB"/>
    <w:rsid w:val="000B55FF"/>
    <w:rsid w:val="000C51BF"/>
    <w:rsid w:val="000E3BF1"/>
    <w:rsid w:val="000F6512"/>
    <w:rsid w:val="000F6889"/>
    <w:rsid w:val="00104C18"/>
    <w:rsid w:val="00107FC3"/>
    <w:rsid w:val="0011770C"/>
    <w:rsid w:val="0012054D"/>
    <w:rsid w:val="00120CD2"/>
    <w:rsid w:val="00124A3A"/>
    <w:rsid w:val="0012762F"/>
    <w:rsid w:val="00150BBC"/>
    <w:rsid w:val="00190E82"/>
    <w:rsid w:val="001A44B6"/>
    <w:rsid w:val="001A714F"/>
    <w:rsid w:val="001C39BA"/>
    <w:rsid w:val="001E006E"/>
    <w:rsid w:val="001F1B67"/>
    <w:rsid w:val="0021296C"/>
    <w:rsid w:val="0022332C"/>
    <w:rsid w:val="0024057B"/>
    <w:rsid w:val="0024419F"/>
    <w:rsid w:val="0029335C"/>
    <w:rsid w:val="002969DF"/>
    <w:rsid w:val="002A06A4"/>
    <w:rsid w:val="002D2D2A"/>
    <w:rsid w:val="002D5DA7"/>
    <w:rsid w:val="002F244C"/>
    <w:rsid w:val="002F6C37"/>
    <w:rsid w:val="00316B32"/>
    <w:rsid w:val="00333C35"/>
    <w:rsid w:val="00335194"/>
    <w:rsid w:val="00336C61"/>
    <w:rsid w:val="00343514"/>
    <w:rsid w:val="003514BD"/>
    <w:rsid w:val="003754FC"/>
    <w:rsid w:val="00375F00"/>
    <w:rsid w:val="00391C42"/>
    <w:rsid w:val="003C6E1A"/>
    <w:rsid w:val="003D1DD0"/>
    <w:rsid w:val="003E122E"/>
    <w:rsid w:val="003F32C1"/>
    <w:rsid w:val="004132B7"/>
    <w:rsid w:val="004245D2"/>
    <w:rsid w:val="00424ABC"/>
    <w:rsid w:val="004312B7"/>
    <w:rsid w:val="00466E26"/>
    <w:rsid w:val="00485B2D"/>
    <w:rsid w:val="0048696B"/>
    <w:rsid w:val="004A5AF2"/>
    <w:rsid w:val="004A768C"/>
    <w:rsid w:val="004E45B4"/>
    <w:rsid w:val="004F53AE"/>
    <w:rsid w:val="005117F8"/>
    <w:rsid w:val="00524D06"/>
    <w:rsid w:val="0053634A"/>
    <w:rsid w:val="00543694"/>
    <w:rsid w:val="005662C1"/>
    <w:rsid w:val="0059522C"/>
    <w:rsid w:val="005A1B9A"/>
    <w:rsid w:val="005A4DBA"/>
    <w:rsid w:val="005C4CEC"/>
    <w:rsid w:val="005F2AC0"/>
    <w:rsid w:val="0061156D"/>
    <w:rsid w:val="00621487"/>
    <w:rsid w:val="00626781"/>
    <w:rsid w:val="006267BE"/>
    <w:rsid w:val="00634E01"/>
    <w:rsid w:val="00635081"/>
    <w:rsid w:val="00640040"/>
    <w:rsid w:val="00640C60"/>
    <w:rsid w:val="00646F6C"/>
    <w:rsid w:val="00647DA5"/>
    <w:rsid w:val="00657E0D"/>
    <w:rsid w:val="0066232B"/>
    <w:rsid w:val="00662532"/>
    <w:rsid w:val="00670423"/>
    <w:rsid w:val="0067109A"/>
    <w:rsid w:val="006826B3"/>
    <w:rsid w:val="00684C21"/>
    <w:rsid w:val="0069217F"/>
    <w:rsid w:val="00692291"/>
    <w:rsid w:val="006A0260"/>
    <w:rsid w:val="006C65AB"/>
    <w:rsid w:val="006E141B"/>
    <w:rsid w:val="006E60E7"/>
    <w:rsid w:val="0070394E"/>
    <w:rsid w:val="00703995"/>
    <w:rsid w:val="00720073"/>
    <w:rsid w:val="00722A3E"/>
    <w:rsid w:val="00724B6E"/>
    <w:rsid w:val="007335EF"/>
    <w:rsid w:val="00733B01"/>
    <w:rsid w:val="00741B1C"/>
    <w:rsid w:val="00743F9D"/>
    <w:rsid w:val="007472A5"/>
    <w:rsid w:val="00755E7F"/>
    <w:rsid w:val="007741BF"/>
    <w:rsid w:val="007A240E"/>
    <w:rsid w:val="007A50B6"/>
    <w:rsid w:val="007B43D8"/>
    <w:rsid w:val="007B71AE"/>
    <w:rsid w:val="008065FC"/>
    <w:rsid w:val="0084293D"/>
    <w:rsid w:val="008524D3"/>
    <w:rsid w:val="008A6584"/>
    <w:rsid w:val="008A6DC0"/>
    <w:rsid w:val="008B0753"/>
    <w:rsid w:val="008D15F5"/>
    <w:rsid w:val="008E36C0"/>
    <w:rsid w:val="008F5A06"/>
    <w:rsid w:val="009037E0"/>
    <w:rsid w:val="00920CD0"/>
    <w:rsid w:val="00924D90"/>
    <w:rsid w:val="00934626"/>
    <w:rsid w:val="00941D02"/>
    <w:rsid w:val="00965FB3"/>
    <w:rsid w:val="00985A42"/>
    <w:rsid w:val="0099783A"/>
    <w:rsid w:val="009A681F"/>
    <w:rsid w:val="009C56FC"/>
    <w:rsid w:val="009C6AEF"/>
    <w:rsid w:val="009E0EB0"/>
    <w:rsid w:val="009E53B8"/>
    <w:rsid w:val="009E58DE"/>
    <w:rsid w:val="009F676E"/>
    <w:rsid w:val="00A55BF3"/>
    <w:rsid w:val="00A561EC"/>
    <w:rsid w:val="00A83679"/>
    <w:rsid w:val="00A96CE4"/>
    <w:rsid w:val="00AB48D5"/>
    <w:rsid w:val="00AB7ADC"/>
    <w:rsid w:val="00AC5325"/>
    <w:rsid w:val="00AD6710"/>
    <w:rsid w:val="00B01882"/>
    <w:rsid w:val="00B023EC"/>
    <w:rsid w:val="00B22015"/>
    <w:rsid w:val="00B22642"/>
    <w:rsid w:val="00B3013E"/>
    <w:rsid w:val="00B32F4A"/>
    <w:rsid w:val="00B40A8D"/>
    <w:rsid w:val="00B51209"/>
    <w:rsid w:val="00B544B9"/>
    <w:rsid w:val="00B73830"/>
    <w:rsid w:val="00B76990"/>
    <w:rsid w:val="00BB1B1D"/>
    <w:rsid w:val="00BC26B9"/>
    <w:rsid w:val="00BC563D"/>
    <w:rsid w:val="00BD63D2"/>
    <w:rsid w:val="00BE0697"/>
    <w:rsid w:val="00BE7396"/>
    <w:rsid w:val="00BF7F71"/>
    <w:rsid w:val="00C06C84"/>
    <w:rsid w:val="00C23BF6"/>
    <w:rsid w:val="00C24E5C"/>
    <w:rsid w:val="00C260E7"/>
    <w:rsid w:val="00C3528D"/>
    <w:rsid w:val="00C44E1C"/>
    <w:rsid w:val="00C46576"/>
    <w:rsid w:val="00C57B92"/>
    <w:rsid w:val="00C74193"/>
    <w:rsid w:val="00C870CB"/>
    <w:rsid w:val="00C9276C"/>
    <w:rsid w:val="00CA11BD"/>
    <w:rsid w:val="00CA12E6"/>
    <w:rsid w:val="00CC10B0"/>
    <w:rsid w:val="00CC68E2"/>
    <w:rsid w:val="00CD120F"/>
    <w:rsid w:val="00CE02C1"/>
    <w:rsid w:val="00D071D3"/>
    <w:rsid w:val="00D137B6"/>
    <w:rsid w:val="00D21825"/>
    <w:rsid w:val="00D50441"/>
    <w:rsid w:val="00D6050A"/>
    <w:rsid w:val="00DD0A96"/>
    <w:rsid w:val="00DD75B7"/>
    <w:rsid w:val="00DF19E3"/>
    <w:rsid w:val="00E113B1"/>
    <w:rsid w:val="00E14F54"/>
    <w:rsid w:val="00E22249"/>
    <w:rsid w:val="00E26CCA"/>
    <w:rsid w:val="00E51C0E"/>
    <w:rsid w:val="00E55493"/>
    <w:rsid w:val="00E627E2"/>
    <w:rsid w:val="00E66280"/>
    <w:rsid w:val="00E74F99"/>
    <w:rsid w:val="00E80A28"/>
    <w:rsid w:val="00EA3583"/>
    <w:rsid w:val="00EB3FB9"/>
    <w:rsid w:val="00EC0517"/>
    <w:rsid w:val="00EC0C94"/>
    <w:rsid w:val="00EC6CFD"/>
    <w:rsid w:val="00EC7759"/>
    <w:rsid w:val="00EE1D46"/>
    <w:rsid w:val="00F10353"/>
    <w:rsid w:val="00F12E06"/>
    <w:rsid w:val="00F26862"/>
    <w:rsid w:val="00F47734"/>
    <w:rsid w:val="00F80CFF"/>
    <w:rsid w:val="00F82DF8"/>
    <w:rsid w:val="00FA6E8B"/>
    <w:rsid w:val="00FB24AB"/>
    <w:rsid w:val="00FB7335"/>
    <w:rsid w:val="00FE4F69"/>
    <w:rsid w:val="02A2206C"/>
    <w:rsid w:val="03993BA4"/>
    <w:rsid w:val="0D0B5429"/>
    <w:rsid w:val="13AA1353"/>
    <w:rsid w:val="185A4A56"/>
    <w:rsid w:val="19AE2E27"/>
    <w:rsid w:val="1AF35A11"/>
    <w:rsid w:val="1D5B6C8E"/>
    <w:rsid w:val="1DC80D24"/>
    <w:rsid w:val="262E5E95"/>
    <w:rsid w:val="27F54D78"/>
    <w:rsid w:val="28304227"/>
    <w:rsid w:val="28D13F2D"/>
    <w:rsid w:val="2C0C4FAB"/>
    <w:rsid w:val="35E978AA"/>
    <w:rsid w:val="3F8C60F7"/>
    <w:rsid w:val="40350C1A"/>
    <w:rsid w:val="42ED6564"/>
    <w:rsid w:val="474E213E"/>
    <w:rsid w:val="4D063625"/>
    <w:rsid w:val="4EC10688"/>
    <w:rsid w:val="50192623"/>
    <w:rsid w:val="502D2C76"/>
    <w:rsid w:val="538F0D14"/>
    <w:rsid w:val="594F111E"/>
    <w:rsid w:val="5B410B1C"/>
    <w:rsid w:val="5B442445"/>
    <w:rsid w:val="603B70FF"/>
    <w:rsid w:val="6B7071D4"/>
    <w:rsid w:val="6C612382"/>
    <w:rsid w:val="70473027"/>
    <w:rsid w:val="745E7D1A"/>
    <w:rsid w:val="754B78A7"/>
    <w:rsid w:val="761B631C"/>
    <w:rsid w:val="76E86BAB"/>
    <w:rsid w:val="79F71831"/>
    <w:rsid w:val="7C07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9" w:lineRule="exact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4B60C-E2BA-42E9-B4E4-39052A1893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6</Pages>
  <Words>12432</Words>
  <Characters>12880</Characters>
  <Lines>95</Lines>
  <Paragraphs>26</Paragraphs>
  <TotalTime>276</TotalTime>
  <ScaleCrop>false</ScaleCrop>
  <LinksUpToDate>false</LinksUpToDate>
  <CharactersWithSpaces>13020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2025-05-20T04:07:00Z</dcterms:created>
  <dc:creator>郭爱华</dc:creator>
  <cp:lastModifiedBy>招标代理</cp:lastModifiedBy>
  <dcterms:modified xsi:type="dcterms:W3CDTF">2026-07-03T10:05:37Z</dcterms:modified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A2262A13D4AA4E1298596E54515AE3D4_13</vt:lpwstr>
  </property>
  <property fmtid="{D5CDD505-2E9C-101B-9397-08002B2CF9AE}" pid="4" name="KSOTemplateDocerSaveRecord">
    <vt:lpwstr>eyJoZGlkIjoiN2U1OTRjNTU0ZWJiMjZhYTdkZjFjN2RiNDk1ODk0ZTUiLCJ1c2VySWQiOiIxNTg1OTMwMDYyIn0=</vt:lpwstr>
  </property>
</Properties>
</file>