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C6843">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《广州市番禺区产业发展与重点片区空间协同策划》项目任务书</w:t>
      </w:r>
    </w:p>
    <w:p w14:paraId="4D0C1B87">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2"/>
          <w:szCs w:val="32"/>
          <w:lang w:eastAsia="zh-CN"/>
        </w:rPr>
      </w:pPr>
    </w:p>
    <w:p w14:paraId="108ECCA2">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lang w:eastAsia="zh-CN"/>
        </w:rPr>
        <w:t>一、工作背景</w:t>
      </w:r>
    </w:p>
    <w:p w14:paraId="74775455">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为积极响应省、市、区第十五个五年规划建议及市</w:t>
      </w:r>
      <w:r>
        <w:rPr>
          <w:rFonts w:hint="eastAsia" w:ascii="仿宋_GB2312" w:hAnsi="黑体" w:eastAsia="仿宋_GB2312"/>
          <w:sz w:val="32"/>
        </w:rPr>
        <w:t>“产业第</w:t>
      </w:r>
      <w:bookmarkStart w:id="0" w:name="_GoBack"/>
      <w:bookmarkEnd w:id="0"/>
      <w:r>
        <w:rPr>
          <w:rFonts w:hint="eastAsia" w:ascii="仿宋_GB2312" w:hAnsi="黑体" w:eastAsia="仿宋_GB2312"/>
          <w:sz w:val="32"/>
        </w:rPr>
        <w:t>一，制造业立市”战略</w:t>
      </w:r>
      <w:r>
        <w:rPr>
          <w:rFonts w:hint="eastAsia" w:ascii="仿宋_GB2312" w:hAnsi="仿宋_GB2312" w:eastAsia="仿宋_GB2312" w:cs="仿宋_GB2312"/>
          <w:sz w:val="32"/>
          <w:szCs w:val="32"/>
          <w:lang w:eastAsia="zh-CN"/>
        </w:rPr>
        <w:t>，耦合番禺区产业与空间结构，完善创新发展平台，引导各类产业要素集聚，深化工商并举。编制本次综合策划，旨在促进长远发展，前瞻布局产业空间，涵盖区域产业战略研判、番禺北部金廊策划、重点片区产业与空间协同研究、镇街产业定位及招商等内容，以智能网联与新能源汽车、时尚消费品两大核心产业为基础，拓展发展战略性产业集群、未来产业和现代服务业，全力打造高质量发展强引擎，推动番禺区产业空间提质升级。</w:t>
      </w:r>
    </w:p>
    <w:p w14:paraId="10188A5C">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lang w:eastAsia="zh-CN"/>
        </w:rPr>
        <w:t>二、工作依据</w:t>
      </w:r>
    </w:p>
    <w:p w14:paraId="66506C1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1.《中华人民共和国城乡规划法》</w:t>
      </w:r>
    </w:p>
    <w:p w14:paraId="04EBAB54">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2.《广东省城乡规划条例》</w:t>
      </w:r>
    </w:p>
    <w:p w14:paraId="23E97D6F">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3.《广州市国土空间规划条例》</w:t>
      </w:r>
    </w:p>
    <w:p w14:paraId="707A88A9">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.《广州市城市总体规划（2021-2035）》</w:t>
      </w:r>
    </w:p>
    <w:p w14:paraId="414B413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《番禺区国土空间总体规划（2021-2035年）》</w:t>
      </w:r>
    </w:p>
    <w:p w14:paraId="75A28CE4">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6.《中共广东省委关于制定广东省国民经济和社会发展第十五个五年规划的建议》</w:t>
      </w:r>
    </w:p>
    <w:p w14:paraId="3FFDBDBB">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7.《中共广州市委关于制定广州市国民经济和社会发展第十五个五年规划的建议》</w:t>
      </w:r>
    </w:p>
    <w:p w14:paraId="66739D4F">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8.《中共中央关于制定国民经济和社会发展第十五个五年规划的建议》</w:t>
      </w:r>
    </w:p>
    <w:p w14:paraId="694F74D4">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三、工作目标</w:t>
      </w:r>
    </w:p>
    <w:p w14:paraId="056BBF2B">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突出战略导向，强化案例经验对标分析和区域发展态势研究，支撑</w:t>
      </w:r>
      <w:r>
        <w:rPr>
          <w:rFonts w:hint="eastAsia" w:ascii="仿宋_GB2312" w:hAnsi="仿宋_GB2312" w:eastAsia="仿宋_GB2312" w:cs="仿宋_GB2312"/>
          <w:sz w:val="32"/>
          <w:szCs w:val="32"/>
          <w:lang w:val="en-US" w:eastAsia="zh-CN"/>
        </w:rPr>
        <w:t>番禺</w:t>
      </w:r>
      <w:r>
        <w:rPr>
          <w:rFonts w:hint="default" w:ascii="仿宋_GB2312" w:hAnsi="仿宋_GB2312" w:eastAsia="仿宋_GB2312" w:cs="仿宋_GB2312"/>
          <w:sz w:val="32"/>
          <w:szCs w:val="32"/>
          <w:lang w:val="en-US" w:eastAsia="zh-CN"/>
        </w:rPr>
        <w:t>提升</w:t>
      </w:r>
      <w:r>
        <w:rPr>
          <w:rFonts w:hint="eastAsia" w:ascii="仿宋_GB2312" w:hAnsi="仿宋_GB2312" w:eastAsia="仿宋_GB2312" w:cs="仿宋_GB2312"/>
          <w:sz w:val="32"/>
          <w:szCs w:val="32"/>
          <w:lang w:val="en-US" w:eastAsia="zh-CN"/>
        </w:rPr>
        <w:t>湾区</w:t>
      </w:r>
      <w:r>
        <w:rPr>
          <w:rFonts w:hint="default" w:ascii="仿宋_GB2312" w:hAnsi="仿宋_GB2312" w:eastAsia="仿宋_GB2312" w:cs="仿宋_GB2312"/>
          <w:sz w:val="32"/>
          <w:szCs w:val="32"/>
          <w:lang w:val="en-US" w:eastAsia="zh-CN"/>
        </w:rPr>
        <w:t>重要承载地功能，明确</w:t>
      </w:r>
      <w:r>
        <w:rPr>
          <w:rFonts w:hint="eastAsia" w:ascii="仿宋_GB2312" w:hAnsi="仿宋_GB2312" w:eastAsia="仿宋_GB2312" w:cs="仿宋_GB2312"/>
          <w:sz w:val="32"/>
          <w:szCs w:val="32"/>
          <w:lang w:val="en-US" w:eastAsia="zh-CN"/>
        </w:rPr>
        <w:t>番禺北部金廊</w:t>
      </w:r>
      <w:r>
        <w:rPr>
          <w:rFonts w:hint="default" w:ascii="仿宋_GB2312" w:hAnsi="仿宋_GB2312" w:eastAsia="仿宋_GB2312" w:cs="仿宋_GB2312"/>
          <w:sz w:val="32"/>
          <w:szCs w:val="32"/>
          <w:lang w:val="en-US" w:eastAsia="zh-CN"/>
        </w:rPr>
        <w:t>的发展</w:t>
      </w:r>
      <w:r>
        <w:rPr>
          <w:rFonts w:hint="eastAsia" w:ascii="仿宋_GB2312" w:hAnsi="仿宋_GB2312" w:eastAsia="仿宋_GB2312" w:cs="仿宋_GB2312"/>
          <w:sz w:val="32"/>
          <w:szCs w:val="32"/>
          <w:lang w:val="en-US" w:eastAsia="zh-CN"/>
        </w:rPr>
        <w:t>定位、</w:t>
      </w:r>
      <w:r>
        <w:rPr>
          <w:rFonts w:hint="default" w:ascii="仿宋_GB2312" w:hAnsi="仿宋_GB2312" w:eastAsia="仿宋_GB2312" w:cs="仿宋_GB2312"/>
          <w:sz w:val="32"/>
          <w:szCs w:val="32"/>
          <w:lang w:val="en-US" w:eastAsia="zh-CN"/>
        </w:rPr>
        <w:t>目标和战略导向。</w:t>
      </w:r>
    </w:p>
    <w:p w14:paraId="06CECBAB">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突出策略导向，提出</w:t>
      </w:r>
      <w:r>
        <w:rPr>
          <w:rFonts w:hint="eastAsia" w:ascii="仿宋_GB2312" w:hAnsi="仿宋_GB2312" w:eastAsia="仿宋_GB2312" w:cs="仿宋_GB2312"/>
          <w:sz w:val="32"/>
          <w:szCs w:val="32"/>
          <w:lang w:val="en-US" w:eastAsia="zh-CN"/>
        </w:rPr>
        <w:t>重点片区</w:t>
      </w:r>
      <w:r>
        <w:rPr>
          <w:rFonts w:hint="default" w:ascii="仿宋_GB2312" w:hAnsi="仿宋_GB2312" w:eastAsia="仿宋_GB2312" w:cs="仿宋_GB2312"/>
          <w:sz w:val="32"/>
          <w:szCs w:val="32"/>
          <w:lang w:val="en-US" w:eastAsia="zh-CN"/>
        </w:rPr>
        <w:t>的空间布局和功能定位，提出产业发展策略路径，围绕空间布局、土地整备、服务配套等领域提出具体的支撑举措。</w:t>
      </w:r>
    </w:p>
    <w:p w14:paraId="35C44C54">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突出实施导向，立足功能定位和支撑举措，</w:t>
      </w:r>
      <w:r>
        <w:rPr>
          <w:rFonts w:hint="eastAsia" w:ascii="仿宋_GB2312" w:hAnsi="仿宋_GB2312" w:eastAsia="仿宋_GB2312" w:cs="仿宋_GB2312"/>
          <w:sz w:val="32"/>
          <w:szCs w:val="32"/>
          <w:lang w:val="en-US" w:eastAsia="zh-CN"/>
        </w:rPr>
        <w:t>识别近期重点片区，策划一批有战略性、牵引性的重大项目储备项目。</w:t>
      </w:r>
    </w:p>
    <w:p w14:paraId="7A4CFC02">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lang w:val="en-US" w:eastAsia="zh-CN"/>
        </w:rPr>
        <w:t>四</w:t>
      </w:r>
      <w:r>
        <w:rPr>
          <w:rFonts w:hint="eastAsia" w:ascii="国标黑体" w:hAnsi="国标黑体" w:eastAsia="国标黑体" w:cs="国标黑体"/>
          <w:sz w:val="32"/>
          <w:szCs w:val="32"/>
          <w:lang w:eastAsia="zh-CN"/>
        </w:rPr>
        <w:t>、工作范围</w:t>
      </w:r>
    </w:p>
    <w:p w14:paraId="52D3E72A">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番禺区行政辖区范围，重点片区包含但不限于广州南站、大学城、紫坭岛、洛浦上潡-厦滘等。</w:t>
      </w:r>
    </w:p>
    <w:p w14:paraId="4E6B1A3A">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lang w:val="en-US" w:eastAsia="zh-CN"/>
        </w:rPr>
        <w:t>五</w:t>
      </w:r>
      <w:r>
        <w:rPr>
          <w:rFonts w:hint="eastAsia" w:ascii="国标黑体" w:hAnsi="国标黑体" w:eastAsia="国标黑体" w:cs="国标黑体"/>
          <w:sz w:val="32"/>
          <w:szCs w:val="32"/>
          <w:lang w:eastAsia="zh-CN"/>
        </w:rPr>
        <w:t>、工作内容</w:t>
      </w:r>
    </w:p>
    <w:p w14:paraId="15B32FA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 xml:space="preserve">    （一）全区产业发展思路研判及产业空间分析</w:t>
      </w:r>
    </w:p>
    <w:p w14:paraId="0C18720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区域发展分析及上层次规划要求梳理、产业发展现状及问题分析，提出产业发展总体思路与对策。系统梳理黄金内湾、狮子洋增长极、广州市远景发展战略等上位规划对番禺区产业空间的发展要求，研判番禺在粤港澳大湾区及广州市域中的区位特征与功能定位，识别区域发展机遇，结合现状，提出重点片区产业与产业空间布局的总体思路与发展策略。</w:t>
      </w:r>
    </w:p>
    <w:p w14:paraId="67980A0E">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发展基础与现状资源评估。梳理重点片区在粤港澳大湾区、广州市及番禺区多层级格局中的区位特征及功能要求，分析交通条件，评估片区交通可达性与对外联通能力。研判重点片区与周边区域的竞争与合作态势。盘点片区现状产业发展基础，摸清片区用地现状，评估空间承载能力与发展潜力。</w:t>
      </w:r>
    </w:p>
    <w:p w14:paraId="0FAE70CC">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产业空间功能定位与主导产业方向策划。衔接区产业空间发展战略，借鉴国内外案例及发展经验，提出各片区的总体发展定位、核心功能与战略导向，构建片区主导产业发展体系，明确产业链具体赛道与细分环节，聚焦特定环节提出发展策略与招商方向。针对特色产业，策划具有活力、吸引力与可实施性的特色场景与项目，推动功能落地。</w:t>
      </w:r>
    </w:p>
    <w:p w14:paraId="1370B776">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产业空间布局与实施建议。研究重点片区的整体空间结构，明确核心、轴线、组团、节点等的空间组织关系，明确各片区内部的功能分区，提出空间优化的总体方向。梳理各片区可利用土地资源，测算空间容量，开展土地资金初步测算，评估经济效益与可行性，提出用地整备路径与分期实施建议。</w:t>
      </w:r>
    </w:p>
    <w:p w14:paraId="18231363">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val="en-US" w:eastAsia="zh-CN"/>
        </w:rPr>
        <w:t>四是重点任务梳理与实施保障。提出重点片区建设的重点任务及建设时序建议，策划支撑片区发展的重大项目。结合重点片区实际，提出土地、产业、人才、科创、招商等方面的政策创新建议。</w:t>
      </w:r>
      <w:r>
        <w:rPr>
          <w:rFonts w:hint="eastAsia" w:ascii="仿宋_GB2312" w:hAnsi="仿宋_GB2312" w:eastAsia="仿宋_GB2312" w:cs="仿宋_GB2312"/>
          <w:sz w:val="32"/>
          <w:szCs w:val="32"/>
          <w:highlight w:val="none"/>
          <w:lang w:val="en-US" w:eastAsia="zh-CN"/>
        </w:rPr>
        <w:t>紧扣策划方案成果，根据实施推进情况，进行方案动态优化与调整。</w:t>
      </w:r>
    </w:p>
    <w:p w14:paraId="73B93A86">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（二）区域产业发展与空间协同策划方案编制</w:t>
      </w:r>
    </w:p>
    <w:p w14:paraId="4C6BC015">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聚焦番禺北部，研究南大干线对重大平台的串联集聚作用，以及对环大学城科创成果和产业要素高效便捷流通的促进作用，编制番禺北部金廊策划方案、科创区策划方案。</w:t>
      </w:r>
    </w:p>
    <w:p w14:paraId="49530748">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区域价值研判。结合番禺区产业空间现状布局，分析番禺北部金廊在大湾区东西两岸融合发展、广佛莞深度合作中的战略支点作用，研究北部金廊在广州空间结构中的功能定位演变，分析北部金廊在交通联通、产业链协同、创新要素流动等方面的纽带作用。</w:t>
      </w:r>
    </w:p>
    <w:p w14:paraId="7A547397">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区域资源要素识别。梳理交通、产业、用地、人口等要素，总结区域现状特征与主要问题。概括交通枢纽集聚、产业平台布局、人口分布、生态本底等方面的发展特征，提炼优势条件与核心竞争力。从产业能级、空间布局、交通串联、配套服务、生态品质等维度，系统诊断区域建设面临的关键问题与制约因素。</w:t>
      </w:r>
    </w:p>
    <w:p w14:paraId="18B128E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三是提出总体定位和发展目标。结合上位规划要求及番禺区发展战略，提出番禺北部金廊及科创区的总体战略定位，明确其在科技创新、产业发展、城市服务、生态休闲等方面的核心功能，形成功能复合的定位。</w:t>
      </w:r>
    </w:p>
    <w:p w14:paraId="40004C02">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总体发展策划，从产业创新、消费服务、生态环境、公共服务等角度提出发展策略。围绕“基础研究—技术攻关—成果转化—产业化”全链条，提出各创新环节的功能布局。整合沿线文化资源、旅游资源与商业资源，提出文商旅体融合发展与消费场景营造的总体思路。研究沿线生态要素的连通性与完整性，提出生态廊道体系的构建方案，提出岸线贯通、功能植入、景观提升等活化策略，打造高品质的公共开放空间。明确公共服务设施布局优化策略，提出教育、医疗、文化、体育、养老等公共服务设施的提升思路。</w:t>
      </w:r>
    </w:p>
    <w:p w14:paraId="7325A7C7">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是空间结构策划，明确各功能片区的功能定位。研究国内外城市线性发展廊道的空间组织模式，总结发展经验与布局思路。明确北部金廊的整体空间结构框架，提出重点片区空间范围。围绕各重点片区，开展空间资源梳理，挖掘价值地块， 并在北部金廊总体定位框架下，细化各重点片区的功能定位、发展目标与产业方向。</w:t>
      </w:r>
    </w:p>
    <w:p w14:paraId="489AD577">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是实施计划，围绕用地、交通、生态、公共服务等方面提出实施建议。提出用地保障策略，梳理出价值地块，提出新增建设用地指标争取、存量用地更新、土地整备与收储等实施路径，并明确价值地块的主导功能。提出交通提升计划，理清轨道交通线路延伸和主次干路的新建、改造、贯通等近期实施项目，提出沿线绿道、步行道等慢行系统的优化建议。围绕教育、医疗、文化、体育等公共服务设施，提出近期设施布局建议。</w:t>
      </w:r>
    </w:p>
    <w:p w14:paraId="422AAC5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（三）镇街产业发展研究</w:t>
      </w:r>
    </w:p>
    <w:p w14:paraId="46EE23F9">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现代化产业体系分工。在梳理全区产业发展优势与现状的基础上，聚焦番禺区现代化产业体系，开展产业分工研究，梳理发展基础与主要问题以及空间布局。并结合全区战略需求、产业基础等，提出镇街产业分工总体思路建议，提出16个镇街现代化产业体系的分工方案。</w:t>
      </w:r>
    </w:p>
    <w:p w14:paraId="13BD352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镇街产业发展现状梳理。梳理16个镇街的现状产业基础，整理其产业园区、重点企业、创新平台、高校人才资源、生态文化等核心要素，明确各镇街的工业产业区块、低效用地等空间制约因素，总结各镇街产业发展面临的主要问题。</w:t>
      </w:r>
    </w:p>
    <w:p w14:paraId="47E2128E">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镇街产业功能定位与发展策略。结合全区现代化产业体系分工情况，明确各镇街主导产业和特色产业方向，构建差异化产业生态。针对每个镇街的主导产业，拆解其产业链的具体赛道和关键环节，识别产业链中高附加值、可落地的细分赛道，为每个镇街的提出具体的、可操作的产业发展策略。</w:t>
      </w:r>
    </w:p>
    <w:p w14:paraId="72DCD8B9">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四是镇街产业空间布局建议。结合各镇街的产业空间基础，提出增量空间拓展与存量空间提质等载体发展策略。</w:t>
      </w:r>
    </w:p>
    <w:p w14:paraId="4204DCA3">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六、成果要求</w:t>
      </w:r>
    </w:p>
    <w:p w14:paraId="725C2598">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（一）技术文件</w:t>
      </w:r>
    </w:p>
    <w:p w14:paraId="4D6AC096">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1.番禺区产业思路研判及产业空间分析。产业研判及产业空间分析汇报文件，宣传资料、产业空间布局规划图等。</w:t>
      </w:r>
    </w:p>
    <w:p w14:paraId="69DD058F">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2.区域产业发展与空间协同策划方案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番禺北部金廊策划方案，汇报文件、宣传材料、产业空间布局规划图等</w:t>
      </w:r>
      <w:r>
        <w:rPr>
          <w:rFonts w:hint="eastAsia" w:ascii="仿宋_GB2312" w:hAnsi="仿宋_GB2312" w:eastAsia="仿宋_GB2312" w:cs="仿宋_GB2312"/>
          <w:sz w:val="32"/>
          <w:szCs w:val="32"/>
          <w:lang w:eastAsia="zh-CN"/>
        </w:rPr>
        <w:t>；番禺区中央科创区发展策划，汇报文件、宣传材料、产业空间布局规划图等。</w:t>
      </w:r>
    </w:p>
    <w:p w14:paraId="4C52EFBF">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国标楷体" w:hAnsi="国标楷体" w:eastAsia="国标楷体" w:cs="国标楷体"/>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镇街产业发展研究。番禺区镇街产业发展研究成果汇报文件、产业空间布局规划图等，主导产业建议一览表。</w:t>
      </w:r>
    </w:p>
    <w:p w14:paraId="061D7A88">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lang w:eastAsia="zh-CN"/>
        </w:rPr>
        <w:t>（二）</w:t>
      </w:r>
      <w:r>
        <w:rPr>
          <w:rFonts w:hint="eastAsia" w:ascii="楷体" w:hAnsi="楷体" w:eastAsia="楷体" w:cs="楷体"/>
          <w:sz w:val="32"/>
          <w:szCs w:val="32"/>
        </w:rPr>
        <w:t>图集</w:t>
      </w:r>
    </w:p>
    <w:p w14:paraId="63E609BA">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全区</w:t>
      </w:r>
      <w:r>
        <w:rPr>
          <w:rFonts w:hint="eastAsia" w:ascii="仿宋_GB2312" w:hAnsi="仿宋_GB2312" w:eastAsia="仿宋_GB2312" w:cs="仿宋_GB2312"/>
          <w:sz w:val="32"/>
          <w:szCs w:val="32"/>
          <w:lang w:eastAsia="zh-CN"/>
        </w:rPr>
        <w:t>范围</w:t>
      </w:r>
      <w:r>
        <w:rPr>
          <w:rFonts w:hint="eastAsia" w:ascii="仿宋_GB2312" w:hAnsi="仿宋_GB2312" w:eastAsia="仿宋_GB2312" w:cs="仿宋_GB2312"/>
          <w:sz w:val="32"/>
          <w:szCs w:val="32"/>
        </w:rPr>
        <w:t>：现状图（包括空间分布、要素分布等）；区域产业协同图；规划图（空间结构、定位和分类布局、产业链、产业园区等）；产业招商图等。</w:t>
      </w:r>
    </w:p>
    <w:p w14:paraId="231616CC">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2.区域范围</w:t>
      </w:r>
      <w:r>
        <w:rPr>
          <w:rFonts w:hint="eastAsia" w:ascii="仿宋_GB2312" w:hAnsi="仿宋_GB2312" w:eastAsia="仿宋_GB2312" w:cs="仿宋_GB2312"/>
          <w:sz w:val="32"/>
          <w:szCs w:val="32"/>
        </w:rPr>
        <w:t>：用地与产业现状图(现状用地类型、重点企业等）、产业定位及结构图、存量更新与可出让地块识别图、片区空间协同分析图（与周边交通、设施、产业链联系）</w:t>
      </w:r>
      <w:r>
        <w:rPr>
          <w:rFonts w:hint="eastAsia" w:ascii="仿宋_GB2312" w:hAnsi="仿宋_GB2312" w:eastAsia="仿宋_GB2312" w:cs="仿宋_GB2312"/>
          <w:sz w:val="32"/>
          <w:szCs w:val="32"/>
          <w:lang w:eastAsia="zh-CN"/>
        </w:rPr>
        <w:t>。</w:t>
      </w:r>
    </w:p>
    <w:p w14:paraId="7A0CCD5C">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镇街范围：镇街产业空间现状一张图、产业</w:t>
      </w:r>
      <w:r>
        <w:rPr>
          <w:rFonts w:hint="eastAsia" w:ascii="仿宋_GB2312" w:hAnsi="仿宋_GB2312" w:eastAsia="仿宋_GB2312" w:cs="仿宋_GB2312"/>
          <w:sz w:val="32"/>
          <w:szCs w:val="32"/>
          <w:lang w:val="en-US" w:eastAsia="zh-CN"/>
        </w:rPr>
        <w:t>体系</w:t>
      </w:r>
      <w:r>
        <w:rPr>
          <w:rFonts w:hint="eastAsia" w:ascii="仿宋_GB2312" w:hAnsi="仿宋_GB2312" w:eastAsia="仿宋_GB2312" w:cs="仿宋_GB2312"/>
          <w:sz w:val="32"/>
          <w:szCs w:val="32"/>
        </w:rPr>
        <w:t>图、产业空间潜力图</w:t>
      </w:r>
      <w:r>
        <w:rPr>
          <w:rFonts w:hint="eastAsia" w:ascii="仿宋_GB2312" w:hAnsi="仿宋_GB2312" w:eastAsia="仿宋_GB2312" w:cs="仿宋_GB2312"/>
          <w:sz w:val="32"/>
          <w:szCs w:val="32"/>
          <w:lang w:eastAsia="zh-CN"/>
        </w:rPr>
        <w:t>。</w:t>
      </w:r>
    </w:p>
    <w:p w14:paraId="47D3BF28">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lang w:eastAsia="zh-CN"/>
        </w:rPr>
        <w:t>（三）</w:t>
      </w:r>
      <w:r>
        <w:rPr>
          <w:rFonts w:hint="eastAsia" w:ascii="楷体" w:hAnsi="楷体" w:eastAsia="楷体" w:cs="楷体"/>
          <w:sz w:val="32"/>
          <w:szCs w:val="32"/>
        </w:rPr>
        <w:t>数据库</w:t>
      </w:r>
    </w:p>
    <w:p w14:paraId="3DE13E66">
      <w:pPr>
        <w:pStyle w:val="9"/>
        <w:keepNext w:val="0"/>
        <w:keepLines w:val="0"/>
        <w:pageBreakBefore w:val="0"/>
        <w:widowControl/>
        <w:kinsoku/>
        <w:wordWrap/>
        <w:overflowPunct/>
        <w:topLinePunct w:val="0"/>
        <w:autoSpaceDE/>
        <w:autoSpaceDN/>
        <w:bidi w:val="0"/>
        <w:adjustRightInd/>
        <w:snapToGrid/>
        <w:ind w:left="0" w:firstLine="60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0"/>
          <w:szCs w:val="30"/>
          <w:lang w:eastAsia="zh-CN"/>
        </w:rPr>
        <w:t>对本项目收集和产生的各类数据进行标准化、规范化</w:t>
      </w:r>
      <w:r>
        <w:rPr>
          <w:rFonts w:hint="eastAsia" w:ascii="仿宋_GB2312" w:hAnsi="仿宋_GB2312" w:eastAsia="仿宋_GB2312" w:cs="仿宋_GB2312"/>
          <w:kern w:val="0"/>
          <w:sz w:val="30"/>
          <w:szCs w:val="30"/>
          <w:highlight w:val="none"/>
        </w:rPr>
        <w:t>整理</w:t>
      </w:r>
      <w:r>
        <w:rPr>
          <w:rFonts w:hint="eastAsia" w:ascii="仿宋_GB2312" w:hAnsi="仿宋_GB2312" w:eastAsia="仿宋_GB2312" w:cs="仿宋_GB2312"/>
          <w:kern w:val="0"/>
          <w:sz w:val="30"/>
          <w:szCs w:val="30"/>
          <w:lang w:eastAsia="zh-CN"/>
        </w:rPr>
        <w:t>，形成</w:t>
      </w:r>
      <w:r>
        <w:rPr>
          <w:rFonts w:hint="eastAsia" w:ascii="仿宋_GB2312" w:hAnsi="仿宋_GB2312" w:eastAsia="仿宋_GB2312" w:cs="仿宋_GB2312"/>
          <w:kern w:val="0"/>
          <w:sz w:val="30"/>
          <w:szCs w:val="30"/>
          <w:highlight w:val="none"/>
        </w:rPr>
        <w:t>数据文件</w:t>
      </w:r>
      <w:r>
        <w:rPr>
          <w:rFonts w:hint="eastAsia" w:ascii="仿宋_GB2312" w:hAnsi="仿宋_GB2312" w:eastAsia="仿宋_GB2312" w:cs="仿宋_GB2312"/>
          <w:kern w:val="0"/>
          <w:sz w:val="30"/>
          <w:szCs w:val="30"/>
          <w:lang w:eastAsia="zh-CN"/>
        </w:rPr>
        <w:t>及数据库建设情况说明。</w:t>
      </w:r>
    </w:p>
    <w:p w14:paraId="179598D1">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（四）其他材料</w:t>
      </w:r>
    </w:p>
    <w:p w14:paraId="0019BACB">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包括但不限于工作开展所需形成的各类汇报材料、调研报告、总结材料和宣传材料等。</w:t>
      </w:r>
    </w:p>
    <w:p w14:paraId="7FA97634">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（五）工作成果规格要求</w:t>
      </w:r>
    </w:p>
    <w:p w14:paraId="5347E696">
      <w:pPr>
        <w:pStyle w:val="11"/>
        <w:numPr>
          <w:ilvl w:val="0"/>
          <w:numId w:val="0"/>
        </w:numPr>
        <w:spacing w:line="560" w:lineRule="exact"/>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纸质文件：</w:t>
      </w:r>
      <w:r>
        <w:rPr>
          <w:rFonts w:hint="eastAsia" w:ascii="仿宋_GB2312" w:hAnsi="仿宋_GB2312" w:eastAsia="仿宋_GB2312" w:cs="仿宋_GB2312"/>
          <w:sz w:val="30"/>
          <w:szCs w:val="30"/>
          <w:lang w:val="en-US" w:eastAsia="zh-CN"/>
        </w:rPr>
        <w:t>报告</w:t>
      </w:r>
      <w:r>
        <w:rPr>
          <w:rFonts w:hint="eastAsia" w:ascii="仿宋_GB2312" w:hAnsi="仿宋_GB2312" w:eastAsia="仿宋_GB2312" w:cs="仿宋_GB2312"/>
          <w:color w:val="000000"/>
          <w:sz w:val="30"/>
          <w:szCs w:val="30"/>
          <w:lang w:eastAsia="zh-CN"/>
        </w:rPr>
        <w:t>文本</w:t>
      </w:r>
      <w:r>
        <w:rPr>
          <w:rFonts w:hint="eastAsia" w:ascii="仿宋_GB2312" w:hAnsi="仿宋_GB2312" w:eastAsia="仿宋_GB2312" w:cs="仿宋_GB2312"/>
          <w:color w:val="000000"/>
          <w:sz w:val="30"/>
          <w:szCs w:val="30"/>
        </w:rPr>
        <w:t>规格为A4（210mm×297mm），</w:t>
      </w:r>
      <w:r>
        <w:rPr>
          <w:rFonts w:hint="eastAsia" w:ascii="仿宋_GB2312" w:hAnsi="仿宋_GB2312" w:eastAsia="仿宋_GB2312" w:cs="仿宋_GB2312"/>
          <w:sz w:val="30"/>
          <w:szCs w:val="30"/>
          <w:lang w:eastAsia="zh-CN"/>
        </w:rPr>
        <w:t>图纸文件根据需要确定规格为</w:t>
      </w:r>
      <w:r>
        <w:rPr>
          <w:rFonts w:hint="eastAsia" w:ascii="仿宋_GB2312" w:hAnsi="仿宋_GB2312" w:eastAsia="仿宋_GB2312" w:cs="仿宋_GB2312"/>
          <w:color w:val="000000"/>
          <w:sz w:val="30"/>
          <w:szCs w:val="30"/>
        </w:rPr>
        <w:t>A3（297mm×420mm）或 A4（210mm×297mm）</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color w:val="000000"/>
          <w:sz w:val="30"/>
          <w:szCs w:val="30"/>
        </w:rPr>
        <w:t>根据工作需要提供打印套数。</w:t>
      </w:r>
    </w:p>
    <w:p w14:paraId="430E51CE">
      <w:pPr>
        <w:pStyle w:val="11"/>
        <w:numPr>
          <w:ilvl w:val="0"/>
          <w:numId w:val="0"/>
        </w:numPr>
        <w:spacing w:line="560" w:lineRule="exact"/>
        <w:ind w:firstLine="600" w:firstLineChars="200"/>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2.</w:t>
      </w:r>
      <w:r>
        <w:rPr>
          <w:rFonts w:hint="eastAsia" w:ascii="仿宋_GB2312" w:hAnsi="仿宋_GB2312" w:eastAsia="仿宋_GB2312" w:cs="仿宋_GB2312"/>
          <w:color w:val="000000"/>
          <w:sz w:val="30"/>
          <w:szCs w:val="30"/>
        </w:rPr>
        <w:t>计算机文件：全部成果均应制作计算机文件</w:t>
      </w:r>
      <w:r>
        <w:rPr>
          <w:rFonts w:hint="eastAsia" w:ascii="仿宋_GB2312" w:hAnsi="仿宋_GB2312" w:eastAsia="仿宋_GB2312" w:cs="仿宋_GB2312"/>
          <w:color w:val="000000"/>
          <w:sz w:val="30"/>
          <w:szCs w:val="30"/>
          <w:lang w:eastAsia="zh-CN"/>
        </w:rPr>
        <w:t>。</w:t>
      </w:r>
      <w:r>
        <w:rPr>
          <w:rFonts w:hint="eastAsia" w:ascii="仿宋_GB2312" w:hAnsi="仿宋_GB2312" w:eastAsia="仿宋_GB2312" w:cs="仿宋_GB2312"/>
          <w:sz w:val="30"/>
          <w:szCs w:val="30"/>
          <w:lang w:eastAsia="zh-CN"/>
        </w:rPr>
        <w:t>文本文件</w:t>
      </w:r>
      <w:r>
        <w:rPr>
          <w:rFonts w:hint="eastAsia" w:ascii="仿宋_GB2312" w:hAnsi="仿宋_GB2312" w:eastAsia="仿宋_GB2312" w:cs="仿宋_GB2312"/>
          <w:sz w:val="30"/>
          <w:szCs w:val="30"/>
        </w:rPr>
        <w:t>采用WORD或PPT</w:t>
      </w:r>
      <w:r>
        <w:rPr>
          <w:rFonts w:hint="eastAsia" w:ascii="仿宋_GB2312" w:hAnsi="仿宋_GB2312" w:eastAsia="仿宋_GB2312" w:cs="仿宋_GB2312"/>
          <w:sz w:val="30"/>
          <w:szCs w:val="30"/>
          <w:lang w:eastAsia="zh-CN"/>
        </w:rPr>
        <w:t>格式</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color w:val="000000"/>
          <w:sz w:val="30"/>
          <w:szCs w:val="30"/>
          <w:lang w:eastAsia="zh-CN"/>
        </w:rPr>
        <w:t>矢量</w:t>
      </w:r>
      <w:r>
        <w:rPr>
          <w:rFonts w:hint="eastAsia" w:ascii="仿宋_GB2312" w:hAnsi="仿宋_GB2312" w:eastAsia="仿宋_GB2312" w:cs="仿宋_GB2312"/>
          <w:color w:val="000000"/>
          <w:sz w:val="30"/>
          <w:szCs w:val="30"/>
        </w:rPr>
        <w:t>图形文件</w:t>
      </w:r>
      <w:r>
        <w:rPr>
          <w:rFonts w:hint="eastAsia" w:ascii="仿宋_GB2312" w:hAnsi="仿宋_GB2312" w:eastAsia="仿宋_GB2312" w:cs="仿宋_GB2312"/>
          <w:color w:val="000000"/>
          <w:sz w:val="30"/>
          <w:szCs w:val="30"/>
          <w:highlight w:val="none"/>
        </w:rPr>
        <w:t>采用广州2000坐标</w:t>
      </w:r>
      <w:r>
        <w:rPr>
          <w:rFonts w:hint="eastAsia" w:ascii="仿宋_GB2312" w:hAnsi="仿宋_GB2312" w:eastAsia="仿宋_GB2312" w:cs="仿宋_GB2312"/>
          <w:color w:val="000000"/>
          <w:sz w:val="30"/>
          <w:szCs w:val="30"/>
        </w:rPr>
        <w:t>的GIS或CAD</w:t>
      </w:r>
      <w:r>
        <w:rPr>
          <w:rFonts w:hint="eastAsia" w:ascii="仿宋_GB2312" w:hAnsi="仿宋_GB2312" w:eastAsia="仿宋_GB2312" w:cs="仿宋_GB2312"/>
          <w:color w:val="000000"/>
          <w:sz w:val="30"/>
          <w:szCs w:val="30"/>
          <w:lang w:eastAsia="zh-CN"/>
        </w:rPr>
        <w:t>格式</w:t>
      </w:r>
      <w:r>
        <w:rPr>
          <w:rFonts w:hint="eastAsia" w:ascii="仿宋_GB2312" w:hAnsi="仿宋_GB2312" w:eastAsia="仿宋_GB2312" w:cs="仿宋_GB2312"/>
          <w:color w:val="000000"/>
          <w:sz w:val="30"/>
          <w:szCs w:val="30"/>
        </w:rPr>
        <w:t>文件，</w:t>
      </w:r>
      <w:r>
        <w:rPr>
          <w:rFonts w:hint="eastAsia" w:ascii="仿宋_GB2312" w:hAnsi="仿宋_GB2312" w:eastAsia="仿宋_GB2312" w:cs="仿宋_GB2312"/>
          <w:color w:val="000000"/>
          <w:sz w:val="30"/>
          <w:szCs w:val="30"/>
          <w:lang w:eastAsia="zh-CN"/>
        </w:rPr>
        <w:t>非矢量图形文件采用</w:t>
      </w:r>
      <w:r>
        <w:rPr>
          <w:rFonts w:hint="eastAsia" w:ascii="仿宋_GB2312" w:hAnsi="仿宋_GB2312" w:eastAsia="仿宋_GB2312" w:cs="仿宋_GB2312"/>
          <w:color w:val="000000"/>
          <w:sz w:val="30"/>
          <w:szCs w:val="30"/>
          <w:lang w:val="en-US" w:eastAsia="zh-CN"/>
        </w:rPr>
        <w:t>JPG或PDF格式文件</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JPG 格式</w:t>
      </w:r>
      <w:r>
        <w:rPr>
          <w:rFonts w:hint="eastAsia" w:ascii="仿宋_GB2312" w:hAnsi="仿宋_GB2312" w:eastAsia="仿宋_GB2312" w:cs="仿宋_GB2312"/>
          <w:sz w:val="30"/>
          <w:szCs w:val="30"/>
          <w:lang w:eastAsia="zh-CN"/>
        </w:rPr>
        <w:t>分辨率要求在</w:t>
      </w:r>
      <w:r>
        <w:rPr>
          <w:rFonts w:hint="eastAsia" w:ascii="仿宋_GB2312" w:hAnsi="仿宋_GB2312" w:eastAsia="仿宋_GB2312" w:cs="仿宋_GB2312"/>
          <w:sz w:val="30"/>
          <w:szCs w:val="30"/>
          <w:lang w:val="en-US" w:eastAsia="zh-CN"/>
        </w:rPr>
        <w:t>300dpi以上</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台账表格采用EXCEL格式；数据库成果</w:t>
      </w:r>
      <w:r>
        <w:rPr>
          <w:rFonts w:hint="eastAsia" w:ascii="仿宋_GB2312" w:hAnsi="仿宋_GB2312" w:eastAsia="仿宋_GB2312" w:cs="仿宋_GB2312"/>
          <w:sz w:val="30"/>
          <w:szCs w:val="30"/>
          <w:highlight w:val="none"/>
        </w:rPr>
        <w:t>应符合广州市国土空间基础信息平台、国土空间规划“一张图”实施监督信息系统、多规合一管理平台的相关数据标准。</w:t>
      </w:r>
      <w:r>
        <w:rPr>
          <w:rFonts w:hint="eastAsia" w:ascii="仿宋_GB2312" w:hAnsi="仿宋_GB2312" w:eastAsia="仿宋_GB2312" w:cs="仿宋_GB2312"/>
          <w:sz w:val="30"/>
          <w:szCs w:val="30"/>
          <w:highlight w:val="none"/>
          <w:lang w:val="en-US" w:eastAsia="zh-CN"/>
        </w:rPr>
        <w:t>汇</w:t>
      </w:r>
      <w:r>
        <w:rPr>
          <w:rFonts w:hint="eastAsia" w:ascii="仿宋_GB2312" w:hAnsi="仿宋_GB2312" w:eastAsia="仿宋_GB2312" w:cs="仿宋_GB2312"/>
          <w:sz w:val="30"/>
          <w:szCs w:val="30"/>
          <w:lang w:val="en-US" w:eastAsia="zh-CN"/>
        </w:rPr>
        <w:t>报文件、调研报告、宣传材料等其他材料格式视工作具体开展情况甲乙双方另行商定，</w:t>
      </w:r>
      <w:r>
        <w:rPr>
          <w:rFonts w:hint="eastAsia" w:ascii="仿宋_GB2312" w:hAnsi="仿宋_GB2312" w:eastAsia="仿宋_GB2312" w:cs="仿宋_GB2312"/>
          <w:color w:val="000000"/>
          <w:sz w:val="30"/>
          <w:szCs w:val="30"/>
          <w:highlight w:val="none"/>
        </w:rPr>
        <w:t>提</w:t>
      </w:r>
      <w:r>
        <w:rPr>
          <w:rFonts w:hint="eastAsia" w:ascii="仿宋_GB2312" w:hAnsi="仿宋_GB2312" w:eastAsia="仿宋_GB2312" w:cs="仿宋_GB2312"/>
          <w:color w:val="000000"/>
          <w:sz w:val="30"/>
          <w:szCs w:val="30"/>
        </w:rPr>
        <w:t>供以上计算机文件</w:t>
      </w:r>
      <w:r>
        <w:rPr>
          <w:rFonts w:hint="eastAsia" w:ascii="仿宋_GB2312" w:hAnsi="仿宋_GB2312" w:eastAsia="仿宋_GB2312" w:cs="仿宋_GB2312"/>
          <w:color w:val="000000"/>
          <w:sz w:val="30"/>
          <w:szCs w:val="30"/>
          <w:lang w:val="en-US" w:eastAsia="zh-CN"/>
        </w:rPr>
        <w:t>U</w:t>
      </w:r>
      <w:r>
        <w:rPr>
          <w:rFonts w:hint="eastAsia" w:ascii="仿宋_GB2312" w:hAnsi="仿宋_GB2312" w:eastAsia="仿宋_GB2312" w:cs="仿宋_GB2312"/>
          <w:color w:val="000000"/>
          <w:sz w:val="30"/>
          <w:szCs w:val="30"/>
        </w:rPr>
        <w:t>盘两套。</w:t>
      </w:r>
    </w:p>
    <w:p w14:paraId="5F1021EB">
      <w:pPr>
        <w:pStyle w:val="9"/>
        <w:keepNext w:val="0"/>
        <w:keepLines w:val="0"/>
        <w:pageBreakBefore w:val="0"/>
        <w:widowControl/>
        <w:kinsoku/>
        <w:wordWrap/>
        <w:overflowPunct/>
        <w:topLinePunct w:val="0"/>
        <w:autoSpaceDE/>
        <w:autoSpaceDN/>
        <w:bidi w:val="0"/>
        <w:adjustRightInd/>
        <w:snapToGrid/>
        <w:ind w:left="0" w:firstLine="640" w:firstLineChars="200"/>
        <w:jc w:val="left"/>
        <w:textAlignment w:val="auto"/>
        <w:rPr>
          <w:rFonts w:hint="eastAsia" w:ascii="仿宋_GB2312" w:hAnsi="仿宋_GB2312" w:eastAsia="仿宋_GB2312" w:cs="仿宋_GB2312"/>
          <w:sz w:val="32"/>
          <w:szCs w:val="32"/>
          <w:lang w:eastAsia="zh-CN"/>
        </w:rPr>
      </w:pPr>
    </w:p>
    <w:sectPr>
      <w:pgSz w:w="11906" w:h="16838"/>
      <w:pgMar w:top="1701" w:right="1474" w:bottom="113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国标楷体">
    <w:altName w:val="宋体"/>
    <w:panose1 w:val="02000500000000000000"/>
    <w:charset w:val="86"/>
    <w:family w:val="auto"/>
    <w:pitch w:val="default"/>
    <w:sig w:usb0="00000000" w:usb1="00000000" w:usb2="00000000" w:usb3="00000000" w:csb0="00060007"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7DF6CDC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7102D6"/>
    <w:rsid w:val="19361EE6"/>
    <w:rsid w:val="197F605F"/>
    <w:rsid w:val="24C136A2"/>
    <w:rsid w:val="5C6D2BEB"/>
    <w:rsid w:val="5E7BF2F8"/>
    <w:rsid w:val="601B06A7"/>
    <w:rsid w:val="6D9EB45C"/>
    <w:rsid w:val="71FE36B8"/>
    <w:rsid w:val="A15D833E"/>
    <w:rsid w:val="FB458F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unhideWhenUsed/>
    <w:qFormat/>
    <w:uiPriority w:val="99"/>
    <w:pPr>
      <w:tabs>
        <w:tab w:val="center" w:pos="4153"/>
        <w:tab w:val="right" w:pos="8306"/>
      </w:tabs>
      <w:snapToGrid w:val="0"/>
      <w:spacing w:line="240" w:lineRule="atLeast"/>
      <w:jc w:val="center"/>
    </w:pPr>
    <w:rPr>
      <w:sz w:val="18"/>
      <w:szCs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null3"/>
    <w:qFormat/>
    <w:uiPriority w:val="0"/>
    <w:rPr>
      <w:rFonts w:hint="eastAsia" w:ascii="Calibri" w:hAnsi="Calibri" w:eastAsia="宋体" w:cs="Times New Roman"/>
      <w:lang w:val="en-US" w:eastAsia="zh-Hans"/>
    </w:rPr>
  </w:style>
  <w:style w:type="paragraph" w:styleId="10">
    <w:name w:val="List Paragraph"/>
    <w:basedOn w:val="1"/>
    <w:qFormat/>
    <w:uiPriority w:val="34"/>
    <w:pPr>
      <w:ind w:left="720"/>
      <w:contextualSpacing/>
    </w:pPr>
  </w:style>
  <w:style w:type="paragraph" w:customStyle="1" w:styleId="11">
    <w:name w:val="_Style 3"/>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3561</Words>
  <Characters>3649</Characters>
  <Lines>0</Lines>
  <Paragraphs>0</Paragraphs>
  <TotalTime>18</TotalTime>
  <ScaleCrop>false</ScaleCrop>
  <LinksUpToDate>false</LinksUpToDate>
  <CharactersWithSpaces>3656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2026-01-07T08:38:00Z</dcterms:created>
  <dc:creator>lenovo</dc:creator>
  <cp:lastModifiedBy>招标代理</cp:lastModifiedBy>
  <dcterms:modified xsi:type="dcterms:W3CDTF">2026-09-20T05:55:39Z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224A15432FE64667A319E8FB8A952169</vt:lpwstr>
  </property>
  <property fmtid="{D5CDD505-2E9C-101B-9397-08002B2CF9AE}" pid="4" name="KSOTemplateDocerSaveRecord">
    <vt:lpwstr>eyJoZGlkIjoiMWY0NmY3Njg2YzM4MWJlZjU4NTg0ZTI5YjRhZTRmMzciLCJ1c2VySWQiOiI0NTk1MDY1NTMifQ==</vt:lpwstr>
  </property>
</Properties>
</file>